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F-6579/2018 vom 6. März 2020</w:t>
      </w:r>
    </w:p>
    <w:p>
      <w:r>
        <w:t>Bundesverwaltungsgericht, 2020-03-06, FR</w:t>
      </w:r>
    </w:p>
    <w:p>
      <w:r>
        <w:rPr>
          <w:b/>
        </w:rPr>
        <w:t xml:space="preserve">Quelle: </w:t>
      </w:r>
      <w:r>
        <w:t>https://mcp.opencaselaw.ch/entscheid/bvger_F-6579_2018</w:t>
      </w:r>
    </w:p>
    <w:p>
      <w:r>
        <w:t>FR: TAF F-6579/2018 du 6 mars 2020</w:t>
      </w:r>
    </w:p>
    <w:p>
      <w:r>
        <w:t>IT: TAF F-6579/2018 del 6 marzo 2020</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pour formation en application de l'art. 27 LEI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La recourante a qualité pour recourir (art. 48 al. 1 PA). Son recours respecte par ailleurs les exigences de forme et de délai fixées par la loi (art. 50 et 52 PA). Il est par conséquent recevable.</w:t>
      </w:r>
    </w:p>
    <w:p>
      <w:r>
        <w:rPr>
          <w:b/>
        </w:rPr>
        <w:t>E. 2</w:t>
      </w:r>
    </w:p>
    <w:p>
      <w:r>
        <w:t>Le 1er janvier 2019, la loi sur les étrangers du 16 décembre 2005 (LEtr, RS 142.20)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Il en va de même, sur ce point, des dispositions de l'ordonnance du 24 octobre 2007 relative à l'admission, au séjour et à l'exercice d'une activité lucrative (OASA, RS 142.201), modifiée le 15 août 2018 (RO 2018 3173).</w:t>
      </w:r>
    </w:p>
    <w:p>
      <w:r>
        <w:rPr>
          <w:b/>
        </w:rPr>
        <w:t>E. 3</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à l'approbation du SEM en conformité avec la législation et la jurisprudence (à ce sujet, cf. ATF 141 II 169 consid. 4.3.1, 4.3.2 et 6.1 ; art. 85 al. 1 OASA et art. 2 let. a de l'ordonnance du 13 août 2015 du Département fédéral de justice et police relative aux autorisations soumises à la procédure d'approbation et aux décisions préalables dans le domaine du droit des étrangers [RS 142.201.1] et Directives et commentaires du SEM ch. 1.3.2 ainsi que son annexe, publiées sur le site internet www.sem.admin.ch Publications &amp; services Directives et circulaires I. Domaine des étrangers, version du 1er novembre 2019, site consulté en février 2020). Il s'ensuit que ni le SEM ni, a fortiori, le Tribunal ne sont liés par la proposition du SPOP du 27 juin 2018 et peuvent s'écarter de l'appréciation faite par cette autorité.</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6.1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6.2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7.1</w:t>
      </w:r>
    </w:p>
    <w:p>
      <w:r>
        <w:t>En l'occurrence, le SEM a refusé de donner son approbation à l'octroi d'une autorisation de séjour pour formation à la recourante, principalement au motif qu'elle n'avait encore obtenu aucun résultat probant alors que, selon son plan d'études initial, elle aurait dû être sur le point de terminer son Master (cf. décision querellée p. 4). Il a ainsi émis de sérieux doutes quant à l'aptitude de celle-ci à mener à bien la formation envisagée, qui plus est dans des délais raisonnables. Dans son mémoire de recours du 20 novembre 2018, la recourante a en particulier relevé que les changements d'orientation dans son parcours académique étaient le « résultat de sa confrontation à des exigences nouvelles des autorités universitaires, et non le résultat d'un parcours chaotique ». Par ailleurs, elle a expliqué qu'elle envisageait d'effectuer un MSc-BA de septembre 2019 jusqu'en 2021 - voire jusqu'en 2022 si elle devait être astreinte à un programme supplémentaire (cf. pce TAF 1 p. 7 et annexe 16) - dès lors que ce module correspondait mieux à son projet initial (cf. pce TAF 1 p. 4 s.).</w:t>
      </w:r>
    </w:p>
    <w:p>
      <w:r>
        <w:rPr>
          <w:b/>
        </w:rPr>
        <w:t>E. 7.2</w:t>
      </w:r>
    </w:p>
    <w:p>
      <w:r>
        <w:t>S'agissant des conditions matérielles posées à l'art. 27 al. 1 LEI, le Tribunal constate que la recourante a notamment produit une attestation de la direction de X._______ du 8 novembre 2018 de laquelle il ressort qu'elle était bien inscrite en tant qu'étudiante régulière depuis septembre 2015, auprès de l'Université de Lausanne (cf. pce TAF 1 p. 6 et annexe 15). Il y a également lieu de constater qu'elle dispose d'un studio à proximité de l'UNIL (cf. pce TAF 1 annexe 13 p. 3) et que le mandataire et le parrain de la prénommée s'est porté garant du séjour de cette dernière et l'aide financièrement (cf. pce SEM p. 19, 86 et 113). De plus, vu que l'intéressée a fait valoir son souhait de venir étudier en Suisse aux fins de trouver ultérieurement un travail dans une société sise en Inde, le Tribunal ne saurait, prima facie, contester que le but du séjour de la recourante en Suisse est principalement la poursuite de sa formation, que ce but, légitime en soi, ne saurait viser uniquement à éluder les prescriptions générales sur l'admission et le séjour des étrangers et qu'il ne saurait en conséquence être question, en l'état et par rapport à la disposition précitée, de reprocher un éventuel comportement abusif à la recourante.</w:t>
      </w:r>
    </w:p>
    <w:p>
      <w:r>
        <w:rPr>
          <w:b/>
        </w:rPr>
        <w:t>E. 7.3</w:t>
      </w:r>
    </w:p>
    <w:p>
      <w:r>
        <w:t>Il y a donc lieu d'admettre, en tenant compte des pièces du dossier, que la recourante remplit, de prime abord, les conditions pour être admise en vue d'une formation au sens de l'art. 27 al. 1 LEI.</w:t>
      </w:r>
    </w:p>
    <w:p>
      <w:r>
        <w:rPr>
          <w:b/>
        </w:rPr>
        <w:t>E. 8.1</w:t>
      </w:r>
    </w:p>
    <w:p>
      <w:r>
        <w:t>Nonobstant ces éléments favorables à la recourante, il y a lieu de souligner que l'art. 27 LEI est une disposition rédigée en la forme potestative (ou "Kann-Vorschrift") et qu'en conséquence, l'intéressée ne disposerait d'aucun droit à la délivrance d'une autorisation de séjour, à moins qu'elle ne puisse se prévaloir d'une disposition particulière du droit fédéral ou d'un traité lui conférant un tel droit, ce qui n'est pas le cas en l'espèce. Les autorités disposent donc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F- 6400/2016 du 27 avril 2018 consid. 5.2; Spescha/Kerland/Bolzli, Handbuch zum Migrationsrecht, 3e éd., 2015, p. 89 ss).</w:t>
      </w:r>
    </w:p>
    <w:p>
      <w:r>
        <w:rPr>
          <w:b/>
        </w:rPr>
        <w:t>E. 9</w:t>
      </w:r>
    </w:p>
    <w:p>
      <w:r>
        <w:t>Dans ce cadre-là, procédant à une pondération globale de tous les éléments en présence, le Tribunal retiendra ce qui suit.</w:t>
      </w:r>
    </w:p>
    <w:p>
      <w:r>
        <w:rPr>
          <w:b/>
        </w:rPr>
        <w:t>E. 9.1</w:t>
      </w:r>
    </w:p>
    <w:p>
      <w:r>
        <w:t>Dans la présente affaire, il est indéniable que la recourante peut faire valoir des éléments positifs à son égard.</w:t>
      </w:r>
    </w:p>
    <w:p>
      <w:r>
        <w:rPr>
          <w:b/>
        </w:rPr>
        <w:t>E. 9.1.1</w:t>
      </w:r>
    </w:p>
    <w:p>
      <w:r>
        <w:t>Ainsi, plaide en sa faveur le fait qu'elle souhaite améliorer ses connaissances en français et poursuivre en Suisse un Master, dans le but de bénéficier de meilleures chances sur le marché du travail dans son pays d'origine. Son objectif et les moyens planifiés pour y parvenir paraissent cohérents.</w:t>
      </w:r>
    </w:p>
    <w:p>
      <w:r>
        <w:rPr>
          <w:b/>
        </w:rPr>
        <w:t>E. 9.1.2</w:t>
      </w:r>
    </w:p>
    <w:p>
      <w:r>
        <w:t>Il y a également lieu de relever que la recourante a obtenu le Diplôme X._______ en juin 2019 (cf. pce TAF 14 annexe 23).</w:t>
      </w:r>
    </w:p>
    <w:p>
      <w:r>
        <w:rPr>
          <w:b/>
        </w:rPr>
        <w:t>E. 9.2</w:t>
      </w:r>
    </w:p>
    <w:p>
      <w:r>
        <w:t>Ces éléments positifs doivent cependant être fortement relativisés compte tenu des circonstances exposées ci-dessous.</w:t>
      </w:r>
    </w:p>
    <w:p>
      <w:r>
        <w:rPr>
          <w:b/>
        </w:rPr>
        <w:t>E. 9.2.1</w:t>
      </w:r>
    </w:p>
    <w:p>
      <w:r>
        <w:t>Tout d'abord, force est de constater que la recourante a produit une déclaration signée de laquelle il ressort qu'elle s'engageait à ne pas exercer d'activité en dehors de ses études (cf. dossier SEM p. 6) et qu'en cas de violation de cette garantie, elle quitterait la Suisse immédiatement. Or, celle-ci a admis qu'elle avait débuté une activité économique accessoire à temps partiel auprès de la boulangerie pâtisserie « Y._______ » à [...] (cf. dossier SEM p. 62 et 68).</w:t>
      </w:r>
    </w:p>
    <w:p>
      <w:r>
        <w:rPr>
          <w:b/>
        </w:rPr>
        <w:t>E. 9.2.2</w:t>
      </w:r>
    </w:p>
    <w:p>
      <w:r>
        <w:t>En outre, on rappellera qu'avec l'obtention d'un Bachelor of commerce en [...] 2012 (délivré par l'Université de M._______), l'intéressée a déjà acquis une formation lui permettant d'accomplir une activité lucrative dans le domaine de la comptabilité sur le marché du travail indien (cf. dossier SEM p. 82). Depuis le mois de juin 2019, elle peut également faire valoir le Diplôme de français X._______ qu'elle a obtenu (cf. pce TAF 14), ce qui est un atout supplémentaire sur le marché du travail.</w:t>
      </w:r>
    </w:p>
    <w:p>
      <w:r>
        <w:rPr>
          <w:b/>
        </w:rPr>
        <w:t>E. 9.2.3</w:t>
      </w:r>
    </w:p>
    <w:p>
      <w:r>
        <w:t>Au demeurant, on observera qu'en raison des échecs aux examens et des programmes supplémentaires auxquels elle a été confrontée, l'intéressée n'a pas été en mesure de suivre son programme initial. En effet, cette dernière prévoyait de suivre des cours de français durant une année, puis d'effectuer un MScCCF durant 3 ans, soit jusqu'en 2018 (cf. pce TAF 1 p. 2 et dossier SEM p. 15). Or, bien que la recourante ait suivi, pendant une année, différents cours en école privée de langue française et réussi l'examen officiel DELF A1 en février 2015 (cf. dossier SEM p. 69), elle a dû faire une année supplémentaire, dès lors qu'elle n'avait pas le niveau requis en français pour entrer directement à la faculté HEC (cf. pce TAF 1 p. 3). Ayant réussi les examens relatifs à cette année préparatoire en juin 2016 (cf. pce TAF 1 annexe 4), elle a entamé les démarches pour entrer à la faculté HEC. Toutefois, il lui a été signalé qu'elle devait suivre l'année de mise à niveau au MScCCF représentant 60 crédits ECTS répartis en 13 branches, dont 12 enseignées en français, et concentrant les 3 années de programme du bachelor HEC (cf. pce TAF 1 p. 3). La recourante a échoué aux examens en juin 2017 (cf. dossier SEM p. 65), de sorte qu'elle a dû renoncer à cette formation. En raison des fortes recommandations faites par la HEC de maîtriser la langue française à un niveau C1 (cf. pce TAF 1 annexe 6), la recourante a commencé, dès septembre 2017, une formation certifiée à plein temps en français en vue de l'obtention du Diplôme X._______ (cf. pce TAF 1 p. 3 et dossier SEM p. 80). En juin 2019, elle a obtenu ledit Diplôme (cf. pce TAF 14). On constatera de ce qui précède que le plan initial de l'intéressée, qui prévoyait de se consacrer durant une année seulement à la langue française, n'a pas été respecté. Cela étant, son argument selon lequel ses échecs s'expliquent par le fait que les exigences pour le MScCCF - qui était prévu initialement - ont changé entre temps (sur les exigences actuelles, cf., dossier SEM p. 77 qui prévoit une maîtrise de la langue française à un niveau C1) ne lui est d'aucun secours. En effet, s'il est vrai que la HEC exigeait en 2013, pour les étudiants qui désiraient suivre les cours enseignés en français, un niveau linguistique B1 ou B2 selon le DELF (cf. pce TAF 14 annexe 31), il y a toutefois lieu de constater que la maîtrise du niveau C1 indiquée dans le document relatif aux admissions au MScCCF n'est qu'une recommandation faite par la HEC (cf. pce TAF 1 annexe 6). Aussi, après plus de 3 ans passés en Suisse au moment des examens de mise à niveau MScCCF (cf. dossier SEM p. 65), il pouvait être attendu de la recourante qu'elle atteigne le niveau C1 en français. Compte tenu de ces éléments, il y a lieu de retenir que les doutes du SEM au sujet de son aptitude à mener à bien la formation envisagée étaient fondés (cf. décision attaquée, p. 4).</w:t>
      </w:r>
    </w:p>
    <w:p>
      <w:r>
        <w:rPr>
          <w:b/>
        </w:rPr>
        <w:t>E. 9.2.4</w:t>
      </w:r>
    </w:p>
    <w:p>
      <w:r>
        <w:t>A cela s'ajoute le fait que la recourante souhaite désormais s'orienter vers un Master of Sciences en Business Administration (ci-après : MSc-BA). Sur ce point, la recourante a relevé que ce module correspondait mieux à son projet initial, soulignant toutefois que « les candidates et candidats p[ouvai]ent être astreints à un programme supplémentaire avant le programme MSc-BA, allant jusqu'à 30 crédits », de sorte que l'échéance pourrait être prolongée jusqu'à 2022 (cf. pce TAF 1 p. 7). Sur la base des éléments susmentionnés, le Tribunal de céans constate que l'intéressée ne cesse de prolonger son séjour en Suisse et qu'elle ne se respecte pas le programme prévu initialement.</w:t>
      </w:r>
    </w:p>
    <w:p>
      <w:r>
        <w:rPr>
          <w:b/>
        </w:rPr>
        <w:t>E. 9.2.5</w:t>
      </w:r>
    </w:p>
    <w:p>
      <w:r>
        <w:t>Il y a également lieu de souligner que l'intéressée séjourne depuis déjà 6 ans en Suisse. On notera par ailleurs que la HES-SO vient de refuser sa candidature au Msc-BA, en raison du fait qu'elle ne pouvait pas se prévaloir d'une « année d'expérience professionnelle à temps plein » (cf. pce TAF 14 annexe 25). Ainsi, si elle entamait cette formation, qui est initialement prévue pour 4 semestres (cf. pce TAF 1 annexe 16), elle n'achèvera pas ce cursus avant la fin de l'année 2022. Il sied également de relever que l'intéressée a débuté, dès le mois de septembre 2019 un stage en comptabilité et finances qui se terminera à la fin du mois de mars 2020. Or, elle n'aura effectué que 7 mois de stage (cf. pce TAF 14), ce qui laisse présager que sa candidature auprès de la HES-SO ne sera à nouveau pas retenue. Il ressort des éléments qui précèdent que l'intéressée planifie désormais de rester au minimum jusqu'en 2022, ce qui correspondrait à une durée de séjour de plus de 8 ans, étant précisé qu'elle aura alors 30 ans. A ce sujet, on ne saurait perdre de vue que les autorités compétentes doivent faire preuve de diligence et ne pas tolérer des séjours pour études manifestement trop longs, compte tenu des problèmes humains qui peuvent en découler (cf., parmi d'autres, ATAF 2007/45 consid. 4.4; arrêt du TAF C-2333/2013 et C-2339/2013 du 28 octobre 2014 consid. 7.2.2, et la jurisprudence citée). C'est donc à juste titre que l'autorité inférieure a évoqué, dans les circonstances décrites, le risque que la recourante ne soit tentée, sous le couvert d'une autorisation de séjour pour études, de vouloir à terme s'installer durablement en Suisse. Le long séjour déjà passé sur le territoire suisse est en tous les cas de nature à jeter le doute sur ce point. Le fait que des sociétés sises en Inde seraient disposées à engager la recourante à la condition qu'elle accomplisse avec succès « une formation plus poussée (niveau Master) » (cf. pce dossier SEM p. 132) ne permet pas de voir la présente affaire sous un éclairage différent, dès lors que ces promesses d'embauche n'ont aucun caractère contraignant pour les parties.</w:t>
      </w:r>
    </w:p>
    <w:p>
      <w:r>
        <w:rPr>
          <w:b/>
        </w:rPr>
        <w:t>E. 9.2.6</w:t>
      </w:r>
    </w:p>
    <w:p>
      <w:r>
        <w:t>Par ailleurs, le fait que la recourante mette en avant la situation des femmes en Inde en soulignant que celle-ci fait régulièrement l'objet d'un traitement médiatique en Europe (cf. dossier SEM p. 82) et en produisant un article de Swissmaid intitulé « violence domestique en Inde : le foyer, lieu de tous les dangers » (cf. dossier SEM p. 75) laisse à penser qu'elle n'envisage pas réellement de rentrer dans son pays d'origine à la fin de ses études.</w:t>
      </w:r>
    </w:p>
    <w:p>
      <w:r>
        <w:rPr>
          <w:b/>
        </w:rPr>
        <w:t>E. 9.2.7</w:t>
      </w:r>
    </w:p>
    <w:p>
      <w:r>
        <w:t>En outre, quoi qu'en dise la recourante, l'autorité n'a pas fait un usage erroné de son pouvoir d'appréciation en analysant également si la formation de la recourante en Suisse était vraiment nécessaire, étant précisé qu'il s'agit uniquement d'un élément parmi d'autres dans l'analyse. Sous cet angle, on relèvera ici que le Bachelor of commerce que l'intéressée a obtenu à l'Université de M._______ lui a permis d'accéder au monde du travail pour le moins d'octobre 2013 à avril 2014. Le fait qu'elle n'aurait perçu mensuellement que 8'000 roupies indiennes (ci-après : INR), soit Fr. 112.- (cf. dossier SEM p. 82), n'y change rien dès lors qu'en Inde le salaire mensuel moyen en 2013 était de 9'132 INR (cf. le site Internet, http://www.journaldunet.com/business/salaire/inde/pays-ind, consulté en février 2020) et que la formation acquise jusqu'ici en Suisse lui donnera la possibilité de percevoir un salaire mieux rémunéré. Au surplus, contrairement aux dires de l'intéressée, elle aurait la possibilité d'entreprendre un Master équivalent ailleurs qu'en Suisse. A titre illustratif, on nommera l'Université de Londres qui propose un Master intitulé « Master of Business Administration - MBA » (cf. le site Internet https://www.londonmet.ac.uk/courses/postgraduate/master-of-business-administration---mba/, consulté en février 2020). Dès lors, des doutes subsistent quant à la nécessité pour la recourante d'entamer un nouveau cursus à la HES-SO.</w:t>
      </w:r>
    </w:p>
    <w:p>
      <w:r>
        <w:rPr>
          <w:b/>
        </w:rPr>
        <w:t>E. 9.2.8</w:t>
      </w:r>
    </w:p>
    <w:p>
      <w:r>
        <w:t>Enfin, aux intérêts personnels de la recourante s'oppose l'intérêt public tel qu'il résulte de l'art. 3 al. 3 LEtr. En effet, dans le contexte de la politique migratoire plutôt restrictive menée par les autorités helvétiques, il convient également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w:t>
      </w:r>
    </w:p>
    <w:p>
      <w:r>
        <w:rPr>
          <w:b/>
        </w:rPr>
        <w:t>E. 9.3</w:t>
      </w:r>
    </w:p>
    <w:p>
      <w:r>
        <w:t>Au vu des éléments qui précèdent et compte tenu du large pouvoir d'appréciation dont dispose l'autorité intimée en la matière (cf. supra consid. 6), le Tribunal ne saurait reprocher à l'autorité intimée d'avoir jugé inopportun d'autoriser la recourante à entreprendre une formation en Suisse. Ainsi, même si le Tribunal n'entend pas contester l'utilité que pourrait constituer la formation projetée en Suisse et comprend les aspirations légitimes de l'intéressée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w:t>
      </w:r>
    </w:p>
    <w:p>
      <w:r>
        <w:rPr>
          <w:b/>
        </w:rPr>
        <w:t>E. 10</w:t>
      </w:r>
    </w:p>
    <w:p>
      <w:r>
        <w:t>Il ressort de ce qui précède que, par sa décision du 18 octobre 2018, le SEM n'a ni violé le droit fédéral, ni constaté des faits pertinents de manière inexacte ou incomplète; en outre, cette décision n'est pas inopportune (art. 49 PA). En conséquence, le recours est rejeté.</w:t>
      </w:r>
    </w:p>
    <w:p>
      <w:r>
        <w:rPr>
          <w:b/>
        </w:rPr>
        <w:t>E. 11</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w:t>
      </w:r>
    </w:p>
    <w:p>
      <w:r>
        <w:rPr>
          <w:b/>
        </w:rPr>
        <w:t>E. 12</w:t>
      </w:r>
    </w:p>
    <w:p>
      <w:r>
        <w:t>La recourante n'ayant pas eu gain de cause, il ne lui est pas alloué de dépens (cf. art. 64 al. 1 PA a contrario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