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F-6553/2019 vom 1. Oktober 2021</w:t>
      </w:r>
    </w:p>
    <w:p>
      <w:r>
        <w:t>Bundesverwaltungsgericht, 2021-10-01, FR</w:t>
      </w:r>
    </w:p>
    <w:p>
      <w:r>
        <w:rPr>
          <w:b/>
        </w:rPr>
        <w:t xml:space="preserve">Quelle: </w:t>
      </w:r>
      <w:r>
        <w:t>https://mcp.opencaselaw.ch/entscheid/bvger_F-6553_2019</w:t>
      </w:r>
    </w:p>
    <w:p>
      <w:r>
        <w:t>FR: TAF F-6553/2019 du 1 octobre 2021</w:t>
      </w:r>
    </w:p>
    <w:p>
      <w:r>
        <w:t>IT: TAF F-6553/2019 del 1 ottobre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l'occurrence, bien que l'autorité inférieure cite à quelques reprises la LEtr dans sa décision, force est de constater que celle-ci a été prononcée le 11 octobre 2019, soit après l'entrée en vigueur au 1er janvier 2019 des modifications de la LEtr, de sorte que c'est la LEI dans sa teneur actuelle qui s'applique au cas d'espèce. Quoiqu'il en soit, la disposition applicable, soit l'art. 67 LEI, n'a pas connu de modification de fond.</w:t>
      </w:r>
    </w:p>
    <w:p>
      <w:r>
        <w:rPr>
          <w:b/>
        </w:rPr>
        <w:t>E. 4.1</w:t>
      </w:r>
    </w:p>
    <w:p>
      <w:r>
        <w:t>L'interdiction d'entrée est régie par l'art. 67 LEI. Selon l'al. 2 let. a de cette disposition, le SEM peut interdire l'entrée en Suisse à un étranger s'il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w:t>
      </w:r>
    </w:p>
    <w:p>
      <w:r>
        <w:rPr>
          <w:b/>
        </w:rPr>
        <w:t>E. 4.3</w:t>
      </w:r>
    </w:p>
    <w:p>
      <w:r>
        <w:t>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 ATAF2017 VII/2 consid. 4.5).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4.5</w:t>
      </w:r>
    </w:p>
    <w:p>
      <w:r>
        <w:t>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124 II 103 consid. 1c;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129 II 312 consid. 2.4; arrêt du TF 2A.391/2003 du 30 août 2004 consid. 3.5).</w:t>
      </w:r>
    </w:p>
    <w:p>
      <w:r>
        <w:rPr>
          <w:b/>
        </w:rPr>
        <w:t>E. 5</w:t>
      </w:r>
    </w:p>
    <w:p>
      <w:r>
        <w:t>Il convient d'examiner, en premier lieu, si le recourant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(arrêt du TF 2C_66/2018 du 7 mai 2018, consid. 5.3.1 ; Adank-Schärer/Antoniazza-Hafner, Interdiction d'entrée prononcée à l'encontre d'un étranger délinquant, AJP/PJA 7/2018, p. 889, note de bas de page no 32).</w:t>
      </w:r>
    </w:p>
    <w:p>
      <w:r>
        <w:rPr>
          <w:b/>
        </w:rPr>
        <w:t>E. 5.1</w:t>
      </w:r>
    </w:p>
    <w:p>
      <w:r>
        <w:t>L'autorité inférieure a prononcé cette mesure pour une durée de cinq ans, soit jusqu'au 10 octobre 2024, au motif que l'intéressé « avait été condamné, en dernier lieu le 4 septembre 2019, par jugement du Tribunal de police, à une peine privative de liberté de 15 mois, avec sursis et un délai d'épreuve de 5 ans, pour crime contre la loi fédérale sur les stupéfiants (LStup). Même si les faits sont anciens [l'intéressé] a été condamné à plusieurs reprises dès le 20 mai 2014 » et qu'il avait ainsi « menacé gravement l'ordre et la sécurité publics (art. 67 al. 2 lit. A LEI). ».</w:t>
      </w:r>
    </w:p>
    <w:p>
      <w:r>
        <w:rPr>
          <w:b/>
        </w:rPr>
        <w:t>E. 5.2</w:t>
      </w:r>
    </w:p>
    <w:p>
      <w:r>
        <w:t>Dans son recours du 10 décembre 2019 (cf. supra, let. L), le recourant a invoqué qu'on pouvait raisonnablement admettre une évolution positive et un pronostic favorable le concernant. Il a indiqué n'avoir plus jamais commis d'infraction pénale, que ce soit en Suisse ou dans un autre Etat, depuis le mois de novembre 2015. Ayant eu un comportement irréprochable depuis sa dernière condamnation en Suisse, le recourant a indiqué qu'il avait été rattrapé par son passé et que sa situation ne pouvait être comparée à celle d'un trafiquant de drogue récidiviste, où une mesure maximale pourrait s'avérer justifiée. Le recourant a en outre déposé, le 14 juillet 2021, des extraits actualisés de ses casiers judiciaires français et albanais, indiquant une absence de condamnations dans ces deux pays (cf. supra, let. W).</w:t>
      </w:r>
    </w:p>
    <w:p>
      <w:r>
        <w:rPr>
          <w:b/>
        </w:rPr>
        <w:t>E. 5.3</w:t>
      </w:r>
    </w:p>
    <w:p>
      <w:r>
        <w:t>L'examen des pièces et des informations figurant au dossier amène le Tribunal à constater, à l'instar de l'autorité inférieure, que le recourant a fait l'objet de multiples condamnations en Suisse, à savoir : - deux condamnations pénales pour séjour illégal, la première à Genève le 20 mai 2014 à 30 jours-amende avec sursis, et la seconde à Berne le 11 novembre 2014, également à 30 jours-amende avec sursis (cf. supra, let. B). - une condamnation à une peine privative de liberté ferme de trois mois pour infraction à la LStup ainsi qu'à la LEtr (cf. supra, let. C, ordonnance pénale du Ministère public du canton de Genève du 29 novembre 2015, qui fait état de trafic d'héroïne et séjour illégal en Suisse, voir dossier SEM p. 305) ; - une condamnation le 4 septembre 2019 par le Tribunal de police du canton de Genève à une peine privative de liberté de 15 mois, avec sursis et délai d'épreuve de 5 ans, pour « infraction grave » à la LStup, se rapportant à des faits remontant à février 2013 et le 26 avril 2014 (trafic de stupéfiants portant sur environ 929,5 grammes d'héroïne (février 2013), et participation en 2014 à un trafic portant sur 1'492,80 grammes d'héroïne, faits partiellement reconnus; cf. supra, let. H ; voir aussi dossier SEM, p. 14 et 28). La condamnation du 4 septembre 2019, établissant les faits précis pour lesquels le recourant a été condamné, n'a pas été contesté et ce jugement, comme les précédents, sont entrés en force. Dès lors, le Tribunal n'a aucune raison sérieuse de s'écarter des faits constatés par le juge pénal ni de ses appréciations juridiques.</w:t>
      </w:r>
    </w:p>
    <w:p>
      <w:r>
        <w:rPr>
          <w:b/>
        </w:rPr>
        <w:t>E. 5.4</w:t>
      </w:r>
    </w:p>
    <w:p>
      <w:r>
        <w:t>Ainsi, le Tribunal retient que l'intéressé a fait l'objet de plusieurs condamnations, tant pour des infractions à la LEI que pour des délits à la LStup et qu'il a donc indiscutablement attenté à la sécurité et l'ordre publics au sens de l'art. 77a al. 1 OASA, de sorte qu'il remplit les conditions d'application de l'art. 67 al. 2 let. a LEI. La mesure d'éloignement que constitue l'interdiction d'entrée prononcée le 11 octobre 2019 est dès lors justifiée dans son principe.</w:t>
      </w:r>
    </w:p>
    <w:p>
      <w:r>
        <w:rPr>
          <w:b/>
        </w:rPr>
        <w:t>E. 6.1</w:t>
      </w:r>
    </w:p>
    <w:p>
      <w:r>
        <w:t>Il convient, en second lieu, d'examiner si la décision d'interdiction d'entrée prise par l'autorité intimée satisfait aux principes de proportionnalité et de l'égalité de traitement. Pour rappel, le SEM a prononcé une interdiction d'entrée d'une durée de 5 ans, allant du 11 octobre 2019 au 10 octobre 2024.</w:t>
      </w:r>
    </w:p>
    <w:p>
      <w:r>
        <w:rPr>
          <w:b/>
        </w:rPr>
        <w:t>E. 6.2</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6.3</w:t>
      </w:r>
    </w:p>
    <w:p>
      <w:r>
        <w:t>En l'occurrence, s'il est vrai que l'intéressé ne fait pas valoir d'intérêt privé particulier à se rendre en Suisse, il doit quand même être relevé que les infractions commises par celui-ci doivent être considérées comme graves pour ce qui concerne ses infractions à la LStup. Le recourant argue qu'il s'agissait de délits de jeunesse et qu'il se fait rattraper par son passé et que depuis il n'aurait plus commis d'infractions pénales que ce soit en France ou en Albanie, pays de « résidence » habituelle de l'intéressé, comme l'attestent les extraits de casiers judiciaires vierges français et albanais produits par celui-ci en la présente cause. S'il doit certes être constaté que les faits liés à ses condamnations remontent à 2013 et 2014, il n'en demeure pas moins qu'il s'agissait d'infractions portant sur un trafic d'héroïne d'une importante quantité, entrant dans la définition du « cas aggravé » selon la jurisprudence du TF et l'intéressé ne saurait expliquer ces délits par sa jeunesse car à l'époque des faits considérés, l'intéressé avait 31 voire 32 ans, et était donc censé avoir une certaine maturité. En outre, il doit être relevé qu'à ce jour l'intéressé est toujours sous contrôle des autorités vu sa condamnation en 2019 à 15 mois de prison avec sursis de 5 ans. Il est évident que ce délai de sursis, spécialement long, est à même de dissuader le recourant à commettre une nouvelle infraction et il ne peut être considéré aujourd'hui que ce dernier a fait ses preuves quant à un comportement respectueux des lois. La protection de la collectivité publique face au développement du marché de la drogue constitue incontestablement un intérêt public prépondérant justifiant l'éloignement d'un étranger qui s'est rendu coupable d'infraction grave à la loi sur les stupéfiants. L'intéressé invoque qu'il est dorénavant marié avec une ressortissante albanaise résidant en France, avec laquelle il a deux enfants et il souhaite également s'installer en France auprès de sa famille. Il allègue sous cet angle l'art. 8 CEDH, même si sa demande de regroupement familial en France n'a pas reçu, à ce jour, d'issue favorable. Il convient toutefois de préciser que l'intéressé et son épouse se sont mariés alors que l'intéressé était déjà sous le coup d'une interdiction d'entrée et aussi ils devaient être conscients qu'ils pouvaient rencontrer des difficultés à vivre ensemble dans l'espace Schengen. Par ailleurs, il doit être constaté que le recourant est déjà présent sur le territoire français, auprès de sa famille, selon le courrier de son mandataire du 4 mai 2020 et l'acte de mariage. L'interdiction d'entrée prononcée à son endroit ne semble donc pas empêcher le maintien de ses relations avec sa famille. Partant le Tribunal arrive à la conclusion que la mesure d'éloignement prise par l'autorité inférieure est, au stade actuel, nécessaire et adéquate afin de prévenir toute nouvelle atteinte à la sécurité et à l'ordre publics en Suisse. En outre, la durée de la mesure respecte le principe de proportionnalité et correspond, voire est inférieure, à celle prononcées dans des cas analogues (cf. par exemple l'arrêt du TAF F-352/2017 du 6 décembre 2018, où une interdiction d'entrée de 12 ans a été confirmée pour un ressortissant kosovar ayant notamment commis des infractions graves à la LStup et ayant deux enfants, dont un mineur, en Suisse ; cf. également l'arrêt du TAF F-6368/2019 du 26 octobre 2020, où le Tribunal a confirmé une interdiction d'entrée de 5 ans pour un ressortissant gambien, qui avait commis des infractions à la LStup qui ne constituaient pas un cas grave ». Enfin, voir aussi l'arrêt du TAF F-848/2019 du 27 octobre 2020 qui concernait une interdiction de six ans frappant un ressortissant tunisien, confirmée elle aussi par le Tribunal. Les infractions à la LStup dont s'était rendu coupable le recourant étaient relativement anciennes. Toutefois, le Tribunal a indiqué qu'elles peuvent toujours être prises en compte [cf. consid. 7.4]).</w:t>
      </w:r>
    </w:p>
    <w:p>
      <w:r>
        <w:rPr>
          <w:b/>
        </w:rPr>
        <w:t>E. 7</w:t>
      </w:r>
    </w:p>
    <w:p>
      <w:r>
        <w:t>Le SEM a par ailleurs, dans sa décision du 11 octobre 2019, ordonné l'inscription de l'interdiction d'entrée du recourant dans le SIS II. En raison de ce signalement, il est, en principe, interdit au recourant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(art. 3 let. d du règlement [CE] n° 1987/2006 du Parlement européen et du Conseil du 20 décembre 2006 sur l'établissement, le fonctionnement et l'utilisation du système d'information Schengen de deuxième génération [règlement SIS II, JO L 381/4 du 28 décembre 2006], en vigueur depuis le 9 avril 2013 [JO L 87/10 du 27 mars 2013]), cette personne est inscrite aux fins de non-admission dans le SIS II si le cas est suffisamment important pour justifier l'introduction du signalement dans ce système (art. 21 et 24 règlement SIS II, qui ont remplacé les anciens art. 94 par. 1 et 96 de la Convention d'application de l'accord de Schengen [CAAS, JO L 239 du 22 septembre 2000], ainsi qu'il ressort de l'art. 52 par. 1 règlement SIS II).</w:t>
      </w:r>
    </w:p>
    <w:p>
      <w:r>
        <w:rPr>
          <w:b/>
        </w:rPr>
        <w:t>E. 7.2</w:t>
      </w:r>
    </w:p>
    <w:p>
      <w:r>
        <w:t>Le signalement au SIS II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(art. 25 par. 1 CAAS, qui demeure applicable en vertu de l'art. 52 par. 1 règlement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règlement SIS II). En l'espèce, le recourant a argué dans son recours du 10 décembre 2019 que quand bien même une mesure devait être maintenue concernant sa présence sur le territoire suisse, il estimait qu'une interdiction totale de pénétrer sur le territoire des Etats Schengen, et donc en France où se trouvent sa compagne et ses enfants, serait manifestement disproportionnée (cf. supra, let. L). Le 17 février 2021, le recourant a informé le Tribunal que la demande de regroupement familial du recourant avait été rejetée au motif que l'épouse du recourant ne disposait pas de suffisamment de revenus en l'état (cf. supra, let T). L'autorité inférieure, en date du 29 mars 2021, a noté que les démarches du recourant de s'établir en France n'avaient pas été rejetées à cause de l'interdiction d'entrée prononcée ou de sa publication dans le SIS II, mais du fait de la situation de l'épouse de l'intéressé. Enfin, elle a indiqué que les autorités françaises prendraient contact avec le SEM, par le biais de son bureau SIRENE (Supplementary Information Request at the National Entry) en vue de solliciter l'annulation de la mesure d'éloignement en cas d'octroi d'une autorisation de séjour en faveur de l'intéressé.</w:t>
      </w:r>
    </w:p>
    <w:p>
      <w:r>
        <w:rPr>
          <w:b/>
        </w:rPr>
        <w:t>E. 7.3</w:t>
      </w:r>
    </w:p>
    <w:p>
      <w:r>
        <w:t>En l'espèce, le signalement inscrit au SIS II est justifié par les faits retenus et satisfait au principe de la proportionnalité, au vu des circonstances (art. 21 en relation avec l'art. 24 par. 2 du règlement SIS II). Il l'est d'autant plus que la Suisse, dans le champ d'application des règles de Schengen, se doit de préserver les intérêts de tous les Etats parties aux accords d'association à Schengen (ATF 2011/48 consid. 6.1). La demande de regroupement familial, rejetée par les autorités françaises, ne confère aucun droit particulier au recourant et ne le libère aucunement de l'obligation de requérir la délivrance d'un visa pour un séjour en Suisse de courte durée sans activité lucrative, voire en dans un autre Etat de l'Espace Schengen (Annexe 22 de la décision d'exécution de la Commission modifiant la décision de la Commission C(2010) 1620 établissant le Manuel relatif au traitement des demandes de visa et à la modification des visas délivrés [C(2019) 3464 final], ad Italie, p. 11, accessible sur le site du SEM : www.sem.admin.ch Publication &amp; services Directives et circulaires VII. Visas Séjour jusqu'à 90 jours [réglementation Schengen], consulté en août 2021). La présence de sa femme et de ses enfants en France n'est donc aucunement de nature à justifier la suppression de l'inscription au SIS II. L'intéressé n'étant au bénéfice d'aucun titre de séjour au sens de l'art. 25 par. 1 CAAS (cf. Annexe 22 précité) délivré par les autorités françaises ou un autre Etat Schengen, rien n'oblige donc les autorités suisses à retirer, en ce jour, le signalement du recourant au SIS II.</w:t>
      </w:r>
    </w:p>
    <w:p>
      <w:r>
        <w:rPr>
          <w:b/>
        </w:rPr>
        <w:t>E. 8.1</w:t>
      </w:r>
    </w:p>
    <w:p>
      <w:r>
        <w:t>Il ressort de qui précède que, par sa décision du 11 octobre 2019, l'autorité inférieure n'a ni violé le droit fédéral ni constaté des faits pertinents de manière inexacte ou incomplète ; en outre cette décision n'est pas inopportune (art. 49 PA).</w:t>
      </w:r>
    </w:p>
    <w:p>
      <w:r>
        <w:rPr>
          <w:b/>
        </w:rPr>
        <w:t>E. 8.2</w:t>
      </w:r>
    </w:p>
    <w:p>
      <w:r>
        <w:t>En conséquence le recours est rejeté.</w:t>
      </w:r>
    </w:p>
    <w:p>
      <w:r>
        <w:rPr>
          <w:b/>
        </w:rPr>
        <w:t>E. 8.3</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