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F-6553/2017 vom 27. November 2019</w:t>
      </w:r>
    </w:p>
    <w:p>
      <w:r>
        <w:t>Bundesverwaltungsgericht, 2019-11-27, DE</w:t>
      </w:r>
    </w:p>
    <w:p>
      <w:r>
        <w:rPr>
          <w:b/>
        </w:rPr>
        <w:t xml:space="preserve">Quelle: </w:t>
      </w:r>
      <w:r>
        <w:t>https://mcp.opencaselaw.ch/entscheid/bvger_F-6553_2017</w:t>
      </w:r>
    </w:p>
    <w:p>
      <w:r>
        <w:t>FR: TAF F-6553/2017 du 27 novembre 2019</w:t>
      </w:r>
    </w:p>
    <w:p>
      <w:r>
        <w:t>IT: TAF F-6553/2017 del 27 novembre 2019</w:t>
      </w:r>
    </w:p>
    <w:p>
      <w:pPr>
        <w:pStyle w:val="Heading2"/>
      </w:pPr>
      <w:r>
        <w:t>Regeste</w:t>
      </w:r>
    </w:p>
    <w:p>
      <w:r>
        <w:t>Erteilung der vorläufigen Aufnahme</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unter anderem Verfügungen des SEM betreffend die vorläufige Aufnahme gemäss Art. 83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auf die Verweigerung der vorläufigen Aufnahme bezieht. Der Antrag auf Gewährung des Asyls liegt ausserhalb des Anfechtungsgegenstandes, so dass nicht darauf einzutreten ist.</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macht in formeller Hinsicht vorerst geltend, das SEM habe ihm das rechtliche Gehör nicht gewährt, indem es ihm nicht vorgängig mitgeteilt habe, dass es den von ihm im vorinstanzlichen Verfahren eingereichten Haftbefehl vom 7. Juli 2014 für eine Fälschung halte. Dar-über habe man ihn erst mit dem angefochtenen Entscheid informiert (Beschwerde Pkt. II 2).</w:t>
      </w:r>
    </w:p>
    <w:p>
      <w:r>
        <w:rPr>
          <w:b/>
        </w:rPr>
        <w:t>E. 3.2</w:t>
      </w:r>
    </w:p>
    <w:p>
      <w:r>
        <w:t>Der Anspruch auf rechtliches Gehör umfasst unter anderem das Recht, vor Erlass einer Verfügung angehört zu werden (Art. 30 Abs. 1 VwVG). Dabei verlangt das Gesetz nicht, dass die Parteien Gelegenheit erhalten müssen, sich zu jedem möglichen Ergebnis, das von der entscheidenden Behörde ins Auge gefasst wird, zu äussern; die Behörde hat den Parteien weder den Entwurf der Verfügung noch deren Begründung vorgängig zur Stellungnahme zu unterbreiten. Der Anspruch auf vorgängige Anhörung bzw. Äusserung steht den Betroffenen primär in Bezug auf die Feststellung des rechtserheblichen Sachverhalts und des Beweisergebnisses zu (vgl. WALDMANN/BICKEL, in: Praxiskommentar VwVG, 2. Aufl. 2016, Art. 30 N 19 f.).</w:t>
      </w:r>
    </w:p>
    <w:p>
      <w:r>
        <w:rPr>
          <w:b/>
        </w:rPr>
        <w:t>E. 3.3</w:t>
      </w:r>
    </w:p>
    <w:p>
      <w:r>
        <w:t>Eng mit dem Äusserungsrecht ist der Anspruch auf Akteneinsicht gemäss Art. 26 VwVG verbunden. Dieser ist Vorbedingung dafür, dass der Anspruch auf rechtliches Gehör überhaupt wirksam wahrgenommen werden kann (vgl. STEPHAN C. BRUNNER, in: Kommentar zum VwVG, 2. Aufl. 2018, Art. 26 N 2). Das Einsichtsrecht erstreckt sich dabei auf sämtliche verfahrensbezogene Akten, die geeignet sind, Grundlage des späteren Entscheids zu bilden. Auch Unterlagen, die als «intern» bezeichnet werden, sind nicht einfach von der Einsicht auszuschliessen. Es muss vielmehr darauf abgestellt werden, ob eine Akte geeignet ist, als Grundlage zu dienen (Waldmann/Oeschger, in: Praxiskommentar VwVG, 2. Aufl. 2016, Art. 26 N 60 und N 67). Eine Einschränkung des Rechts auf Akteneinsicht ist zwar möglich, wenn ein überwiegendes Interesse an der Geheimhaltung vorhanden ist. Dem Akteneinsichtsrecht muss aber umso mehr Rechnung getragen werden, je stärker bei der Entscheidfindung (und zum Nachteil des Betroffenen) auf ein bestimmtes Aktenstück abgestellt wird (vgl. Urteil des BVGer D-2112/2018 vom 24. April 2018 S. 5 m.H.).</w:t>
      </w:r>
    </w:p>
    <w:p>
      <w:r>
        <w:rPr>
          <w:b/>
        </w:rPr>
        <w:t>E. 3.4</w:t>
      </w:r>
    </w:p>
    <w:p>
      <w:r>
        <w:t>Gemäss den vorinstanzlichen Akten liess der Beschwerdeführer dem SEM mit Eingabe vom 12. Juli 2017 diverse Beweismittel, darunter den Haftbefehl vom 7. Juli 2014, zukommen (SEM act. 11/27 ff.). Dieser Haftbefehl wurde in der Folge vom SEM einer internen Prüfung unterzogen, welche zum Ergebnis hatte, dass das Dokument eine Fälschung sei. Mit Verfügung vom 19. Oktober 2017 lehnte das SEM den Antrag auf vorläufige Aufnahme ab (SEM act. 16).</w:t>
      </w:r>
    </w:p>
    <w:p>
      <w:r>
        <w:rPr>
          <w:b/>
        </w:rPr>
        <w:t>E. 3.5</w:t>
      </w:r>
    </w:p>
    <w:p>
      <w:r>
        <w:t>In casu orientierte das SEM den Beschwerdeführer nicht über die interne Prüfung des Haftbefehls. Da er vom SEM nicht über die Beweiserhebung informiert wurde, bestand für ihn kein Anlass, Einsicht in die vorinstanzlichen Akten zu verlangen. Ohne Kenntnis des Inhalts der vor-instanzlichen Abklärungen war es ihm aber nicht möglich, in angemessener Weise dazu Stellung zu nehmen. Des Weiteren wurde ihm auch vor Erlass der Verfügung keine Gelegenheit eingeräumt, sich dazu zu äussern. Erst mit Entscheid des SEM vom 19. Oktober 2017 wurde ihm mitgeteilt, dass eine interne Dokumentenanalyse ergeben habe, es handle sich beim Haftbefehl um eine Fälschung. Dieser Umstand war dabei massgeblich für die Ablehnung der vorläufigen Aufnahme (vgl. Verfügung des SEM vom 19. Oktober 2017 SEM act. 16/51). Die Vorinstanz wäre gehalten gewesen, den Beschwerdeführer (unter Berücksichtigung allfälliger Geheimhaltungsinteressen) über die festgestellten Fälschungsmerkmale in einer Art und Weise zu informieren, dass es ihm möglich gewesen wäre, konkrete Einwände gegen die Schlussfolgerung des SEM anzubringen. Mit ihrer Vorgehensweise verletzte das SEM damit den Anspruch des Beschwerdeführers auf rechtliches Gehör gemäss Art. 26 und Art. 30 Abs. 1 VwVG.</w:t>
      </w:r>
    </w:p>
    <w:p>
      <w:r>
        <w:rPr>
          <w:b/>
        </w:rPr>
        <w:t>E. 4.1</w:t>
      </w:r>
    </w:p>
    <w:p>
      <w:r>
        <w:t>Wird der Anspruch auf rechtliches Gehör verletzt, so führt dies grund-sätzlich zur Aufhebung des formell mangelhaften Entscheides. Das Bun-desgericht lässt es jedoch zu, solche Verfahrensfehler im Rechtsmittelver-fahren zu heilen bzw. das Versäumte nachzuholen. Dies setzt allerdings voraus, dass die Verletzung nicht besonders schwerwiegend ist, die unterlassene Verfahrenshandlung im Rechtsmittelverfahren nachgeholt wird und das verweigerte rechtliche Gehör vom Betroffenen nachträglich vollumfänglich wahrgenommen werden kann. Die Rechtsmittelinstanz muss dabei über dieselbe Kognition verfügen, wie die Vorinstanz. Des Weiteren dürfen dem Betroffenen durch die Heilung keine unzumutbaren Nachteile entstehen (vgl. WALDMANN/BICKEL, a.a.O., Art. 29 N 114 ff.; BGE 142 II 218 E. 2.8 m.H.)</w:t>
      </w:r>
    </w:p>
    <w:p>
      <w:r>
        <w:rPr>
          <w:b/>
        </w:rPr>
        <w:t>E. 4.2</w:t>
      </w:r>
    </w:p>
    <w:p>
      <w:r>
        <w:t>Vorliegend ist von einer schwerwiegenden Verletzung des rechtlichen Gehörs auszugehen, welche einer Heilung nicht zugänglich ist (vgl. dazu auch Urteile des BVGer D-2112/2018 vom 24. April 2018 S. 6, D-1813/2013 vom 18. April 2013 S. 8). Die Beschwerde ist damit insofern gutzuheissen, als die Aufhebung der angefochtenen Verfügung vom 19. Oktober 2017 und die Rückweisung an die Vorinstanz beantragt wird. Vor diesem Hintergrund erübrigt es sich, auf die weiteren Vorbringen des Beschwerdeführers einzugehen.</w:t>
      </w:r>
    </w:p>
    <w:p>
      <w:r>
        <w:rPr>
          <w:b/>
        </w:rPr>
        <w:t>E. 5.1</w:t>
      </w:r>
    </w:p>
    <w:p>
      <w:r>
        <w:t>Bei diesem Ausgang des Verfahrens sind keine Kosten zu erheben (Art. 63 Abs. 1 VwVG). Der einbezahlte Kostenvorschuss ist zurückzuerstatten.</w:t>
      </w:r>
    </w:p>
    <w:p>
      <w:r>
        <w:rPr>
          <w:b/>
        </w:rPr>
        <w:t>E. 5.2</w:t>
      </w:r>
    </w:p>
    <w:p>
      <w:r>
        <w:t>Dem obsiegenden Beschwerdeführer ist zulasten der Vorinstanz eine Parteientschädigung für die ihm erwachsenen notwendigen Kosten zuzu-sprechen (vgl. Art. 64 Abs. 1 VwVG i.V.m. Art. 37 VGG sowie Art. 7 des Reglements vom 21. Februar 2008 über die Kosten und Entschädigungen vor dem Bundesverwaltungsgericht [VGKE, SR 173.320.2]). Da vorliegend keine Kostennote eingereicht wurde, ist die Parteientschädigung aufgrund der Akten zu bestimmen (Art. 14 Abs. 2 in fine VGKE). Gestützt auf die in Betracht zu ziehenden Bemessungsfaktoren (Art. 9-13 VGKE) ist die vom SEM zu vergütende Parteientschädigung auf Fr. 2'000.- (inkl. Auslagen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