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F-6545/2024 vom 7. November 2024</w:t>
      </w:r>
    </w:p>
    <w:p>
      <w:r>
        <w:t>Bundesverwaltungsgericht, 2024-11-07, DE</w:t>
      </w:r>
    </w:p>
    <w:p>
      <w:r>
        <w:rPr>
          <w:b/>
        </w:rPr>
        <w:t xml:space="preserve">Quelle: </w:t>
      </w:r>
      <w:r>
        <w:t>https://mcp.opencaselaw.ch/entscheid/bvger_F-6545_2024</w:t>
      </w:r>
    </w:p>
    <w:p>
      <w:r>
        <w:t>FR: TAF F-6545/2024 du 7 novembre 2024</w:t>
      </w:r>
    </w:p>
    <w:p>
      <w:r>
        <w:t>IT: TAF F-6545/2024 del 7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Kroatien für die Behandlung des Asylgesuchs des Beschwerdeführers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erlebte gewaltsame Übergriffe durch kroatische Grenzpolizeibeamte und die Aufnahmebedingungen in Kroatien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korrekten vorinstanzlichen Erwägungen verwiesen.</w:t>
      </w:r>
    </w:p>
    <w:p>
      <w:r>
        <w:rPr>
          <w:b/>
        </w:rPr>
        <w:t>E. 2.2</w:t>
      </w:r>
    </w:p>
    <w:p>
      <w:r>
        <w:t>Was der Beschwerdeführer auf Rechtsmittelebene vorbringt, vermag daran nichts zu ändern. Namentlich sind seine Vorbringen und die aufgeführten Berichte nicht geeignet, um die aktuelle, auf einer der Gesamtbetrachtung diverser staatlicher und nichtstaatlicher Quellen sowie der Rechtsprechung anderer Dublin-Mitgliedstaaten beruhenden Beurteilung des Bundesverwaltungsgerichts, wonach das kroatische Asyl- und Aufnahmesystem keine systemischen Schwachstellen aufweist, zu ändern. Auch die auf Beschwerdeebene erstmals vorgebrachten gesundheitlichen Beeinträchtigungen des Beschwerdeführers (Albträume, Angst, Schlafprobleme und Kopfschmerzen) sind nicht derart gravierend, dass gestützt auf Art. 3 EMRK von einer Überstellung nach Kroatien abgesehen werden müsste. Zum unsubstantiierten Vorbringen des Beschwerdeführers, er habe nie beabsichtigt, in Kroatien um Asyl zu ersuchen, ist festzuhalten, dass die Dublin-III-VO asylsuchenden Personen kein Recht einräumt, den ihren Antrag prüfenden Staat selbst auszuwählen (vgl. BVGE 2010/45 E. 8.3). Die beanstandete Verletzung des Informationsrechts nach Art. 4 Dublin-III-VO schliesslich bleibt unbelegt.</w:t>
      </w:r>
    </w:p>
    <w:p>
      <w:r>
        <w:rPr>
          <w:b/>
        </w:rPr>
        <w:t>E. 3</w:t>
      </w:r>
    </w:p>
    <w:p>
      <w:r>
        <w:t>Nach dem Gesagten ist die angefochtene Verfügung nicht zu beanstanden und die Beschwerde ist abzuweisen.</w:t>
      </w:r>
    </w:p>
    <w:p>
      <w:r>
        <w:rPr>
          <w:b/>
        </w:rPr>
        <w:t>E. 4</w:t>
      </w:r>
    </w:p>
    <w:p>
      <w:r>
        <w:t>Mit vorliegendem Urteil fällt der am 18. Oktober 2024 angeordnete Vollzugsstopp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