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F-6538/2024 vom 21. Oktober 2024</w:t>
      </w:r>
    </w:p>
    <w:p>
      <w:r>
        <w:t>Bundesverwaltungsgericht, 2024-10-21, DE</w:t>
      </w:r>
    </w:p>
    <w:p>
      <w:r>
        <w:rPr>
          <w:b/>
        </w:rPr>
        <w:t xml:space="preserve">Quelle: </w:t>
      </w:r>
      <w:r>
        <w:t>https://mcp.opencaselaw.ch/entscheid/bvger_F-6538_2024</w:t>
      </w:r>
    </w:p>
    <w:p>
      <w:r>
        <w:t>FR: TAF F-6538/2024 du 21 octobre 2024</w:t>
      </w:r>
    </w:p>
    <w:p>
      <w:r>
        <w:t>IT: TAF F-6538/2024 del 21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3.1</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Spanien hat der Aufnahme (take charge) der Beschwerdeführerin gestützt auf Art. 13 Abs. 1 Dublin-III-VO vorbehaltlos zugestimmt. Die grundsätzliche Zuständigkeit Spaniens ist gegeben.</w:t>
      </w:r>
    </w:p>
    <w:p>
      <w:r>
        <w:rPr>
          <w:b/>
        </w:rPr>
        <w:t>E. 3.2</w:t>
      </w:r>
    </w:p>
    <w:p>
      <w:r>
        <w:t>Es ist festzuhalten, dass die Dublin-III-VO den Schutzsuchenden kein Recht einräumt, den ihren Antrag prüfenden Staat selber auszuwählen (vgl. BVGE 2010/45 E. 8.3).</w:t>
      </w:r>
    </w:p>
    <w:p>
      <w:r>
        <w:rPr>
          <w:b/>
        </w:rPr>
        <w:t>E. 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4.2</w:t>
      </w:r>
    </w:p>
    <w:p>
      <w:r>
        <w:t>Die Beschwerdeführerin macht geltend, sie leide seit ungefähr sechs Jahren an (...). Sie habe sich zudem wegen Entzündungen an beiden Füssen an das Gesundheitspersonal im BAZ gewendet. Aufgrund ihrer Schwangerschaft - sie sei im (...) Monat - leide sie an Schlaflosigkeit, Müdigkeit und Übelkeit. Sie könne sich kaum konzentrieren, sei gestresst, könne kaum laufen und müsse immer Pausen machen. Ihr psychischer Gesundheitszustand sei nicht gut, sie habe Angst und sei unsicher. Bei einer Rückkehr nach Spanien würde sich ihr Gesundheitszustand verschlechtern. Ferner sei sie auch nicht reisefähig.</w:t>
      </w:r>
    </w:p>
    <w:p>
      <w:r>
        <w:rPr>
          <w:b/>
        </w:rPr>
        <w:t>E. 4.3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Savran gegen Dänemark 7. Dezember 2021, Grosse Kammer 57467/15, §§ 122-139, Paposhvili gegen Belgien 13. Dezember 2016, Grosse Kammer 41738/10, §§ 180-193 m.w.H.).</w:t>
      </w:r>
    </w:p>
    <w:p>
      <w:r>
        <w:rPr>
          <w:b/>
        </w:rPr>
        <w:t>E. 4.4</w:t>
      </w:r>
    </w:p>
    <w:p>
      <w:r>
        <w:t>Den vorinstanzlichen Akten ist zu entnehmen, dass es sich bei der von der Beschwerdeführerin beschriebenen Entzündung an den Beinen um (...) handelte, wobei sich eine Wunde weiter infizierte und es zu einer eitrigen Schwellung kam. Diese wurde antibiotisch behandelt. Einen Termin in der Frauenklinik, wo auch der geltend gemachte (...) hätte untersucht werden sollen, nahm die Beschwerdeführerin nicht wahr. Gemäss Abklärungen der Vorinstanz war sie zum Zeitpunkt des Arzttermins (bzw. vom 10. bis 20. September 2024) unbekannten Aufenthalts. Ein weiterer Termin sei durch den Gesundheitsdienst in Organisation, stehe aber noch nicht fest. Berichte über weitere ärztliche Konsultationen in der Schweiz liegen nicht vor. In den Akten befindet sich ein Arztbericht aus Spanien. Die Beschwerdeführerin gelangte wegen Bauchschmerzen und Erbrechen in die Klinik. Es wurde eine unauffällig verlaufende Schwangerschaft festgestellt und sie erhielt Paracetamol gegen die Schmerzen. Für allfällige weitere Kontrollen wurde ihr geraten, sich mit einer Hebamme in Verbindung zu setzen.</w:t>
      </w:r>
    </w:p>
    <w:p>
      <w:r>
        <w:rPr>
          <w:b/>
        </w:rPr>
        <w:t>E. 4.5</w:t>
      </w:r>
    </w:p>
    <w:p>
      <w:r>
        <w:t>Spanien verfügt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Richtlinie des Europäischen Parlaments und des Rates 2013/33/EU vom 26. Juni 2013 zur Festlegung von Normen für die Aufnahme von Personen, die internationalen Schutz beantragen [sog. Aufnahmerichtlinie]). Antragstellern mit besonderen Bedürfnissen ist die erforderliche medizinische oder sonstige Hilfe (einschliesslich nötigenfalls einer geeigneten psychologischen Betreuung) zu gewähren (Art. 19 Abs. 2 Aufnahmerichtlinie). Es liegen keine Hinweise vor, wonach der Beschwerdeführerin, nachdem sie ein Asylgesuch gestellt hat, eine adäquate medizinische Behandlung verweigert würde. Die Reisefähigkeit wird im Zeitpunkt der Überstellung abgeklärt. Die schweizerischen Behörden, die mit dem Vollzug der angefochtenen Verfügung beauftragt sind, werden überdies den medizinischen Umständen bei der Bestimmung der konkreten Modalitäten der Überstellung Rechnung tragen und die spanischen Behörden vorgängig über den Gesundheitszustand und insbesondere auch über die Schwangerschaft informieren (vgl. Art. 31 f. Dublin-III-VO). Die spanischen Behörden wurden zudem bereits bei der Anfrage um Übernahme auf die Schwangerschaft der Beschwerdeführerin hingewiesen und dass ihre Überstellung zusammen mit ihrem Ehemann erfolgen muss.</w:t>
      </w:r>
    </w:p>
    <w:p>
      <w:r>
        <w:rPr>
          <w:b/>
        </w:rPr>
        <w:t>E. 5</w:t>
      </w:r>
    </w:p>
    <w:p>
      <w:r>
        <w:t>Die Vorinstanz ist zu Recht auf das Asylgesuch der Beschwerdeführerin nicht eingetreten und hat die Wegweisung nach Spanien angeordnet. Die Beschwerde ist abzuweisen.</w:t>
      </w:r>
    </w:p>
    <w:p>
      <w:r>
        <w:rPr>
          <w:b/>
        </w:rPr>
        <w:t>E. 6</w:t>
      </w:r>
    </w:p>
    <w:p>
      <w:r>
        <w:t>Mit dem Entscheid in der Hauptsache sind die Gesuche um Erteilung der aufschiebenden Wirkung und um Verzicht auf die Erhebung eines Kostenvorschusses gegenstandslos geworden. Der am 18. Oktober 2024 verfügte einstweilige Vollzugsstopp fällt mit dem vorliegenden Urteil dahin.</w:t>
      </w:r>
    </w:p>
    <w:p>
      <w:r>
        <w:rPr>
          <w:b/>
        </w:rPr>
        <w:t>E. 7</w:t>
      </w:r>
    </w:p>
    <w:p>
      <w:r>
        <w:t>Das Gesuch um Gewährung der unentgeltlichen Prozessführung ist abzuweisen, da die Beschwerde gemäss den vorstehenden Erwägungen als aussichtslos zu bezeichnen war. Es fehlt, unbesehen der finanziellen Verhältnisse der Beschwerdeführerin, an einer gesetzlichen Voraussetzung gemäss Art. 65 Abs. 1 VwVG. Bei diesem Ausgang des Verfahrens sind ihr die Kosten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