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F-652/2021 vom 19. Januar 2022</w:t>
      </w:r>
    </w:p>
    <w:p>
      <w:r>
        <w:t>Bundesverwaltungsgericht, 2022-01-19, FR</w:t>
      </w:r>
    </w:p>
    <w:p>
      <w:r>
        <w:rPr>
          <w:b/>
        </w:rPr>
        <w:t xml:space="preserve">Quelle: </w:t>
      </w:r>
      <w:r>
        <w:t>https://mcp.opencaselaw.ch/entscheid/bvger_F-652_2021</w:t>
      </w:r>
    </w:p>
    <w:p>
      <w:r>
        <w:t>FR: TAF F-652/2021 du 19 janvier 2022</w:t>
      </w:r>
    </w:p>
    <w:p>
      <w:r>
        <w:t>IT: TAF F-652/2021 del 19 gennaio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dans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Ainsi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LEI. Elle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Aux termes de l'art. 67 al. 1 let. b LEI, une interdiction d'entrée doit être prononcée à l'endroit d'un étranger frappé d'une décision de renvoi lorsqu'il n'a pas quitté la Suisse dans le délai imparti. Le pouvoir d'appréciation des autorités est fortement restreint dans ce genre de cas (cf., parmi d'autres, arrêt du TAF F-7035/2017 du 16 septembre 2019 consid. 5.1).</w:t>
      </w:r>
    </w:p>
    <w:p>
      <w:r>
        <w:rPr>
          <w:b/>
        </w:rPr>
        <w:t>E. 3.3</w:t>
      </w:r>
    </w:p>
    <w:p>
      <w:r>
        <w:t>Selon l'art. 67 al. 2 let. a LEI, le SEM peut interdire l'entrée en Suisse à un étranger notamment s'il a attenté à la sécurité et à l'ordre publics en Suisse ou à l'étranger ou les a mis en danger.</w:t>
      </w:r>
    </w:p>
    <w:p>
      <w:r>
        <w:rPr>
          <w:b/>
        </w:rPr>
        <w:t>E. 3.3.1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3.3.2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3.4</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3.5</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jurisp. cit.).</w:t>
      </w:r>
    </w:p>
    <w:p>
      <w:r>
        <w:rPr>
          <w:b/>
        </w:rPr>
        <w:t>E. 3.6</w:t>
      </w:r>
    </w:p>
    <w:p>
      <w:r>
        <w:t>Enfin, l'autorité compétente examine selon sa libre appréciation si une interdiction d'entrée doit être prononcée. Elle doit donc procéder, ainsi que le commande l'art. 96 al. 1 LEI, à une pondération de l'ensemble des intérêts (publics et privés) en présence et respecter le principe de proportionnalité (ATF 139 II 121 consid. 6.5.1; ATAF 2017 VII/2 consid. 4.5). Elle doit également respecter le principe de l'égalité de traitement et s'interdire tout arbitraire (voir notamment arrêts du TAF F-1519/2017 du 10 avril 2019 consid. 9.1 et F-1061/2018 du 11 mars 2019 consid. 6.1).</w:t>
      </w:r>
    </w:p>
    <w:p>
      <w:r>
        <w:rPr>
          <w:b/>
        </w:rPr>
        <w:t>E. 4.1</w:t>
      </w:r>
    </w:p>
    <w:p>
      <w:r>
        <w:t>En l'espèce, à titre liminaire, il y a lieu de rappeler qu'il existe deux régimes juridiques différents concernant le prononcé des interdictions d'entrée, selon que l'intéressé est ressortissant d'un Etat de l'Union européenne ou d'un Etat tiers. En l'occurrence, le recourant est un ressortissant kosovar, soit originaire d'un Etat tiers, de sorte que le prononcé querellé s'examine à l'aune de la LEI, les dispositions de l'ALCP (RS 0.142.112.681) relatives à la libre circulation des personnes n'étant pas applicables au cas d'espèce.</w:t>
      </w:r>
    </w:p>
    <w:p>
      <w:r>
        <w:rPr>
          <w:b/>
        </w:rPr>
        <w:t>E. 4.2</w:t>
      </w:r>
    </w:p>
    <w:p>
      <w:r>
        <w:t>Cela précisé, il convient d'examiner si le recourant remplit une des conditions posées par l'art. 67 LEI, précité, ce qui justifierait le prononcé d'une mesure d'interdiction d'entrée dans son principe. Sur ce point, il y a lieu de rappeler d'abord que le moment déterminant pour juger du bien-fondé d'une interdiction d'entrée est en principe le jour du prononcé de la décision attaquée (cf. arrêt du TF 2C_66/2018 du 7 mai 2018 consid. 5.3.1 ; voir aussi arrêt du TAF F-1367/2019 du 20 juillet 2021 consid. 7.2.2.1, destiné à la publication; Adank-Schärer/Antoniazza-Hafner, Interdiction d'entrée prononcée à l'encontre d'un étranger délinquant, AJP/PJA 7/2018, p. 889, note de bas de page no 32). Le Tribunal peut toutefois également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arrêt du TAF F-6368/2019 du 26 octobre 2020 consid. 5.5).</w:t>
      </w:r>
    </w:p>
    <w:p>
      <w:r>
        <w:rPr>
          <w:b/>
        </w:rPr>
        <w:t>E. 5</w:t>
      </w:r>
    </w:p>
    <w:p>
      <w:r>
        <w:t>En l'occurrence, le SEM a prononcé à l'encontre de l'intéressé une interdiction d'entrée en Suisse d'une durée de trois ans. Il a fondé sa décision sur deux motifs, retenant, d'une part, que le recourant n'avait pas quitté la Suisse dans le délai imparti (art. 67 al. 1 let. b LEI) et d'autre part, qu'il avait commis un abus de droit en se prévalant d'un mariage qui n'existait plus que formellement pour se voir octroyer une autorisation d'établissement (art. 67 al. 2 let. a LEI).</w:t>
      </w:r>
    </w:p>
    <w:p>
      <w:r>
        <w:rPr>
          <w:b/>
        </w:rPr>
        <w:t>E. 5.1</w:t>
      </w:r>
    </w:p>
    <w:p>
      <w:r>
        <w:t>S'agissant du premier motif, le Tribunal constate que le renvoi de l'intéressé de Suisse a été prononcé par décision du 5 octobre 2015, suite à la révocation de son autorisation d'établissement. Cette décision a acquis force de chose décidée en date du 23 janvier 2018, lorsque le Tribunal fédéral a rejeté, en dernière instance, le recours de l'intéressé interjeté à son encontre. Le recourant a engagé par la suite plusieurs procédures tendant à la reconsidération de la décision du 5 octobre 2015. Le 4 mai 2018, il s'est vu octroyer un effet suspensif à la décision de renvoi, de sorte qu'on ne saurait lui reprocher d'avoir séjourné en Suisse après le 23 janvier 2018, date du rejet, en procédure ordinaire, de son recours par le Tribunal fédéral. Il ressort en revanche du dossier que le 8 janvier 2020, le Service des migrations a déclaré irrecevable la demande de reconsidération introduite par l'intéressé et qu'en date du 29 janvier 2020, lors de son entretien de départ, le recourant s'était engagé à quitter la Suisse au 1er mai 2020. Le Tribunal retient en conséquence, que c'est cette date-là qui doit constituer la date de référence dans la présente affaire pour juger si le recourant avait quitté la Suisse dans le délai imparti. Cela dit, il n'est pas contesté qu'après le 1er mai 2020, le recourant résidait toujours en Suisse. Au stade du recours, pour justifier ce fait, il a fait valoir les circonstances liées à la pandémie du Covid-19, en particulier, les restrictions de voyager. Le Tribunal conçoit que la première moitié de l'année 2020 a été marquée par d'importantes limitations en ce qui concerne les déplacements entre les pays. Par ailleurs, les mesures du lock-down alors introduites ont, certes, rendu moins aisé l'accomplissement de diverses formalités administratives. Ces difficultés n'avaient toutefois pas pour effet de décharger d'office le recourant de son obligation de quitter le pays. En effet, s'il rencontrait effectivement des obstacles, tant sur le plan pratique qu'administratif, pour organiser son voyage, il lui appartenait d'en aviser les autorités et de demander une prolongation du délai de départ. Le recourant n'a toutefois entrepris aucune démarche dans ce sens et n'a pas signalé aux autorités être confronté à des difficultés. Qui plus est, il ressort du dossier qu'en septembre 2020, il séjournait toujours en Suisse, alors que l'été 2020 a été marqué par un important allégement des restrictions de voyager. Partant, il y a lieu de retenir que l'intéressé n'a pas quitté la Suisse dans le délai imparti, de sorte que pour ce motif la mesure d'interdiction d'entrée, prononcée le 12 janvier 2021, est justifiée dans son principe (cf. art. 67 al. 1 let. b LEI).</w:t>
      </w:r>
    </w:p>
    <w:p>
      <w:r>
        <w:rPr>
          <w:b/>
        </w:rPr>
        <w:t>E. 5.2</w:t>
      </w:r>
    </w:p>
    <w:p>
      <w:r>
        <w:t>En second lieu, le SEM retient qu'en se prévalant d'un mariage n'existant plus que formellement pour obtenir une autorisation d'établissement, le recourant a trompé les autorités suisses et ainsi porté atteinte à l'ordre public suisse, au sens de l'art. 67 al. 2 let. a LEI. Pour sa part, l'intéressé estime que ce fait ne constitue pas un motif suffisant pour prononcer une interdiction d'entrée en Suisse. Il souligne que son casier judiciaire est vide et qu'il n'a jamais commis de crime ou de délit. Par ailleurs, à supposer même qu'un abus de droit puisse lui être reproché, il considère avoir déjà été sanctionné pour ce fait par le retrait de son autorisation d'établissement. Une interdiction d'entrée ne devait dès lors pas être prononcée à son encontre pour ce motif. Le Tribunal rappelle, comme déjà relevé au considérant 3.1, qu'une interdiction d'entrée n'est pas une peine sanctionnant un comportement déterminé mais une mesure ayant pour but de prévenir une nouvelle atteinte à la sécurité et à l'ordre publics suisses. Partant, l'argument de l'intéressé selon lequel il aurait déjà été sanctionné pour son comportement manque de pertinence. Par ailleurs, force est de constater qu'en fondant sa demande d'octroi d'une autorisation d'établissement sur un mariage n'existant plus que formellement, le recourant a sciemment attenté aux prescriptions légales suisses (cf. art. 77a al. 1 OASA). Partant, il remplit les conditions de l'art. 67 al. 2 let. a LEI. En effet, contrairement à ce qu'il laisse entendre au stade du recours, cette disposition n'exige pas une condamnation pénale pour conclure à une atteinte à l'ordre public. En effet, en vertu du principe de la séparation des pouvoirs, l'autorité administrative apprécie librement, en marge du pouvoir judiciaire et indépendamment des dispositions pénales, qui elle entend accueillir sur son territoire et de qui elle souhaite se protéger. Aussi, selon la jurisprudence, une mesure d'éloignement peut-elle être prononcée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(cf. arrêts du TAF F-761/2019 du 17 février 2021 consid. 6.1 et F-2377/2016 du 1er mai 2017 consid. 4.4 et réf. cit.). Il s'ensuit que pour le motif tiré de l'art. 67 al. 2 let. a LEI également, l'interdiction d'entrée prononcée à l'encontre de l'intéressé doit être considérée comme justifiée dans son principe.</w:t>
      </w:r>
    </w:p>
    <w:p>
      <w:r>
        <w:rPr>
          <w:b/>
        </w:rPr>
        <w:t>E. 5.3</w:t>
      </w:r>
    </w:p>
    <w:p>
      <w:r>
        <w:t>Dans la mesure où la durée de l'interdiction d'entrée prononcée n'est pas supérieure à cinq ans, il n'est pas nécessaire d'examiner si le recourant représente en sus une menace qualifiée pour l'ordre et la sécurité publics en Suisse, au sens de l'art. 67 al. 3, deuxième phrase LEI.</w:t>
      </w:r>
    </w:p>
    <w:p>
      <w:r>
        <w:rPr>
          <w:b/>
        </w:rPr>
        <w:t>E. 6</w:t>
      </w:r>
    </w:p>
    <w:p>
      <w:r>
        <w:t>Il reste, dès lors, à déterminer si le prononcé d'une interdiction d'entrée d'une durée de trois ans satisfait aux principes de la proportionnalité et de l'égalité de traitement.</w:t>
      </w:r>
    </w:p>
    <w:p>
      <w:r>
        <w:rPr>
          <w:b/>
        </w:rPr>
        <w:t>E. 6.1</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6.2</w:t>
      </w:r>
    </w:p>
    <w:p>
      <w:r>
        <w:t>En l'espèce, il est indéniable que l'éloignement de l'intéressé du territoire suisse est apte à atteindre les buts visés, à savoir assurer le respect des prescriptions légales suisses et de l'ordre public. De même, restant éloigné de Suisse, le recourant ne pourra plus tenter d'y résider illégalement et de se soustraire à des décisions potentielles l'invitant à quitter la Suisse.</w:t>
      </w:r>
    </w:p>
    <w:p>
      <w:r>
        <w:rPr>
          <w:b/>
        </w:rPr>
        <w:t>E. 6.3</w:t>
      </w:r>
    </w:p>
    <w:p>
      <w:r>
        <w:t>La mesure prononcée est également nécessaire étant donné que les buts qu'elle vise, ci-dessus mentionnés, ne peuvent pas être atteints de manière moins invasive que l'éloignement de l'intéressé du territoire suisse.</w:t>
      </w:r>
    </w:p>
    <w:p>
      <w:r>
        <w:rPr>
          <w:b/>
        </w:rPr>
        <w:t>E. 6.4</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6.4.1</w:t>
      </w:r>
    </w:p>
    <w:p>
      <w:r>
        <w:t>S'agissant de l'intérêt public à l'éloignement du recourant de Suisse, le Tribunal observe que les motifs retenus à l'appui de la mesure d'éloignement prise à son endroit ne sauraient être contestés. Comme cela a été jugé par les instances judiciaires suisses, le recourant a sciemment trompé l'autorité en lui cachant le caractère fictif de son mariage afin d'obtenir une autorisation d'établissement. Par ce fait, il a commis un abus de droit et a porté atteinte aux prescriptions légales suisses. De même, en persistant à séjourner en Suisse au-delà du délai à lui imparti pour quitter le pays, l'intéressé a manifestement violé la décision de l'autorité lui ordonnant de quitter le pays (cf. art. 77a al. 1 let. a OASA). Partant, il existe un intérêt public important de prévenir d'autres atteintes de ce type.</w:t>
      </w:r>
    </w:p>
    <w:p>
      <w:r>
        <w:rPr>
          <w:b/>
        </w:rPr>
        <w:t>E. 6.4.2</w:t>
      </w:r>
    </w:p>
    <w:p>
      <w:r>
        <w:t>Pour ce qui est de l'intérêt privé de l'intéressé, celui-ci déclare être intégré en Suisse, pays où il aurait vécu plus de vingt ans. Il convient toutefois d'observer qu'en 2015, l'intéressé s'est marié au Kosovo avec B.________, épousée coutumièrement en 1995 et que celle-ci ainsi que ses deux fils résident là-bas. Par conséquent, on peut valablement retenir que le centre de la vie familiale de l'intéressé n'est pas en Suisse. Dans ce contexte, les années passées dans ce pays n'apparaissent pas comme un facteur déterminant pour renoncer au prononcé d'une mesure d'éloignement, l'intéressé n'ayant mentionné aucune attache particulière avec la Suisse. Partant, il appert que le recourant n'a fait valoir aucun intérêt privé prépondérant à pouvoir entrer en Suisse par rapport à l'intérêt public qui existe à le tenir éloigné de manière prolongée.</w:t>
      </w:r>
    </w:p>
    <w:p>
      <w:r>
        <w:rPr>
          <w:b/>
        </w:rPr>
        <w:t>E. 7.1</w:t>
      </w:r>
    </w:p>
    <w:p>
      <w:r>
        <w:t>Tenant compte de ce qui précède, le Tribunal arrive à la conclusion que la mesure d'éloignement, prise par l'autorité inférieure le 12 janvier 2021, est nécessaire et adéquate afin de prévenir toute nouvelle atteinte à la sécurité et l'ordre publics en Suisse.</w:t>
      </w:r>
    </w:p>
    <w:p>
      <w:r>
        <w:rPr>
          <w:b/>
        </w:rPr>
        <w:t>E. 7.2</w:t>
      </w:r>
    </w:p>
    <w:p>
      <w:r>
        <w:t>En outre, la durée de la mesure respecte le principe de proportionnalité. La cumulation de deux motifs d'éloignement (art. 67 al. 1 let. b LEI et art. 67 al. 2 let. a LEI) justifie en effet en l'espèce une interdiction d'entrée d'une durée de trois ans.</w:t>
      </w:r>
    </w:p>
    <w:p>
      <w:r>
        <w:rPr>
          <w:b/>
        </w:rPr>
        <w:t>E. 8</w:t>
      </w:r>
    </w:p>
    <w:p>
      <w:r>
        <w:t>Enfin, le Tribunal constate qu'il n'existe pas de raisons humanitaires ou d'autres motifs importants justifiant l'abstention ou la suspension de la mesure d'éloignement au sens de l'art. 67 al. 5 LEI.</w:t>
      </w:r>
    </w:p>
    <w:p>
      <w:r>
        <w:rPr>
          <w:b/>
        </w:rPr>
        <w:t>E. 9</w:t>
      </w:r>
    </w:p>
    <w:p>
      <w:r>
        <w:t>Dans sa décision du 12 janvier 2021, le SEM a en outre ordonné l'inscription de l'interdiction d'entrée dans le SIS. Ce signalement est entièrement justifié par les faits retenus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10</w:t>
      </w:r>
    </w:p>
    <w:p>
      <w:r>
        <w:t>Il ressort de ce qui précède que, par sa décision du 12 janvier 2021, le SEM n'a ni violé le droit fédéral, ni constaté des faits pertinents de manière inexacte ou incomplète ; en outre, cette décision n'est pas inopportune (art. 49 PA). En conséquence, le recours est rejeté.</w:t>
      </w:r>
    </w:p>
    <w:p>
      <w:r>
        <w:rPr>
          <w:b/>
        </w:rPr>
        <w:t>E. 11</w:t>
      </w:r>
    </w:p>
    <w:p>
      <w:r>
        <w:t>Au vu de l'issue de la cause, il y a lieu de mettre les frais de procédure à la charge du recourant (art. 63 al. 1 PA en relation avec les art. 1 à 3 du règlement du 21 février 2008 concernant les frais, dépens et indemnités fixés par le Tribunal administratif fédéral [FITAF, RS 172.320.2]). Ceux-ci s'élèvent à 1'000 francs et sont compensés avec l'avance de frais du même montant versée, le 8 avril 2021.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