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F-6527/2018 vom 30. September 2019</w:t>
      </w:r>
    </w:p>
    <w:p>
      <w:r>
        <w:t>Bundesverwaltungsgericht, 2019-09-30, FR</w:t>
      </w:r>
    </w:p>
    <w:p>
      <w:r>
        <w:rPr>
          <w:b/>
        </w:rPr>
        <w:t xml:space="preserve">Quelle: </w:t>
      </w:r>
      <w:r>
        <w:t>https://mcp.opencaselaw.ch/entscheid/bvger_F-6527_2018</w:t>
      </w:r>
    </w:p>
    <w:p>
      <w:r>
        <w:t>FR: TAF F-6527/2018 du 30 septembre 2019</w:t>
      </w:r>
    </w:p>
    <w:p>
      <w:r>
        <w:t>IT: TAF F-6527/2018 del 30 settembre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L'invitant X._______, qui a pris part à la procédure devant l'autorité inférieure, a qualité pour recourir (art. 48 al. 1 PA). Présenté dans la forme et les délais prescrits par la loi, le recours dirigé contre la décision du SEM du 18 octobre 2018 est recevable (cf. art. 50 et 52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l'espèce, l'autorité intimée a rendu la décision qui fait l'objet du présent recours en date du 18 octobre 2018, c'est-à-dire avant l'entrée en vigueur du nouveau droit le 1er janvier 2019. En l'absence de dispositions transitoires particulières, il convient de se référer aux règles générales régissant la détermination du droit applicable. Comme précisé dans sa jurisprudence,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Par conséquent, il y a lieu, sur le plan matériel, d'appliquer les dispositions topiques dans leur teneur en vigueur jusqu'au 31 décembre 2018. Par souci de clarté, le Tribunal continuera donc à utiliser l'ancienne dénomination « LEtr » (cf. notamment arrêts du TAF F-6407/2017 du 29 juillet 2019 consid. 3 et F-6416/2018 du 21 mai 2019 consid. 2.4).</w:t>
      </w:r>
    </w:p>
    <w:p>
      <w:r>
        <w:rPr>
          <w:b/>
        </w:rPr>
        <w:t>E. 3.2</w:t>
      </w:r>
    </w:p>
    <w:p>
      <w:r>
        <w:t>Par ailleurs, il convient de relever que l'ordonnance du 22 octobre 2008 sur l'entrée et l'octroi de visas (aOEV) a été abrogée et remplacée par l'ordonnance du 15 août 2018 sur l'entrée et l'octroi de visas (OEV, RS 142.204), entrée en vigueur le 15 septembre 2018, soit deux jours après qu'Y._______ a sollicité l'octroi d'un visa Schengen auprès de la Représentation suisse à Bangkok. Partant, la nouvelle ordonnance est applicable (cf. art. 70 et 71 OEV). 4.La politique des autorités suisses en matière de visa joue un rôle très important dans la prévention de l'immigration clandestine (cf. à ce sujetle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ATF135 II 1 consid. 1.1, concernant une autorisation de séjour et ATAF 2014/1 consid. 4.1.1).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2014/1consid. 4.1.1 et 4.1.5 et ATAF 2011/48 consid. 4.1).</w:t>
      </w:r>
    </w:p>
    <w:p>
      <w:r>
        <w:rPr>
          <w:b/>
        </w:rPr>
        <w:t>E. 5.1</w:t>
      </w:r>
    </w:p>
    <w:p>
      <w:r>
        <w:t>Les dispositions sur la procédure en matière de visa ainsi que sur l'entrée en Suisse et la sortie de ce pays ne s'appliquent que dans la mesure où les accords d'association à Schengen, qui sont mentionnés àl'Annexe 1, ch. 1 LEtr, ne contiennent pas de dispositions divergentes (cf. art. 2 al. 4 et 5 LEtr). S'agissant des conditions d'entrée en Suisse pour un court séjour (soit un séjour n'excédant pas 90 jours sur toute période de 180 jours), l'art. 3 al. 1 OEV - qui ne se distingue d'ailleurs pas matériellement de sa version antérieure sur ce point -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du18 mars 2017, 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5.2</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w:t>
      </w:r>
    </w:p>
    <w:p>
      <w:r>
        <w:rPr>
          <w:b/>
        </w:rPr>
        <w:t>E. 5.3</w:t>
      </w:r>
    </w:p>
    <w:p>
      <w:r>
        <w:t>Le règlement (UE) 2018/1806 du Parlement européen et du Conseil du 14 novembre 2018 (JO L 303 du 28 novembre 2018, p. 39-58) - qui a remplacé le règlement (CE) 539/2001 du Conseil du 15 mars 2001 (JOL 81 du 21 mars 2001, p. 1-7) et qui ne se distingue pas de celui-ci sur ce point - différencie, en ses art. 1 et 3, les ressortissants des Etats tiers selon qu'ils sont soumis ou non à l'obligation du visa (cf. art. 8 al. 1 OEV). En tant que ressortissant thaïlandais, l'invité est soumis à l'obligation du visa (cf. annexe I des règlements susmentionnés). 6.Quant au fond, l'autorité inférieure a confirmé le refus d'autorisation d'entrée dans l'Espace Schengen prononcé par la Représentation suisse à Bangkok à l'encontre de l'invité. Elle a en effet considéré que la sortie de l'intéressé de l'Espace Schengen, au terme du séjour sollicité, n'apparaissait pas suffisamment garantie, compte tenu de sa situation personnelle (célibataire, n'ayant jamais voyagé dans l'Espace Schengen) et de la situation socio-économique prévalant dans son pays d'origine. L'autorité intimée est demeurée perplexe sur le fait que l'invité puisse quitter son poste de travail - qu'il occupait depuis un peu plus d'une année seulement - pour une période de trois mois. Aux yeux du SEM, il ne saurait être exclu que l'intéressé souhaite prolonger sa présence une fois arrivé dans l'Espace Schengen, dans l'espoir de trouver des conditions d'existence meilleures que celles qu'il connaît dans sa patrie. Enfin, l'autorité inférieure a relevé que les liens familiaux entre l'invitant et l'invité ne ressortaient pas du dossier de la cause. A l'appui de son recours, l'invitant a souligné qu'il assumait les frais du voyage et du séjour en Suisse de l'invité ; il a expliqué que l'invité pourrait accompagner et chercher les deux enfants du couple à l'école durant son séjour, qu'il n'avait aucune intention de rester en Suisse à la fin du séjour autorisé et que son employeur lui avait accordé un congé exceptionnel pour qu'il puisse accomplir ce voyage. Il a notamment produit une copie du compte bancaire de l'invité, une série de photographies et de billets d'avion (afin d'attester des relations étroites entretenues avec l'invité) ainsi qu'un engagement à quitter l'Espace Schengen avant l'expiration du visa demandé. 6.1 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F-5295/2018 du 6 août 2019 consid. 6.3). 6.2 Compte tenu de la qualité de vie et des conditions économiques et sociales relativement difficiles que connaît la population thaïlandaise, on ne saurait de prime abord écarter les craintes de l'autorité inférieure de voir l'intéressé prolonger son séjour en Suisse au-delà de la date d'échéance du visa sollicité. Au mois de mai 2014, l'armée thaïlandaise a pris le pouvoir lors d'un putsch et s'est arrogé le contrôle du pays. Des élections parlementaires ont eu lieu au mois de mars 2019 et un nouveau gouvernement a été mis en place en juillet 2019, mais les libertés de conscience et de rassemblement demeurent limitées. Des risques d'attentats et de sabotages continuer à exister dans tout le pays. En Thaïlande, le produit intérieur brut (PIB) par habitant s'élevait en 2015 à environ 14'354,3 US dollars. Quand bien même le pays bénéficie d'un taux de croissance soutenu, les effets de la crise politique des années 2013/2014 se font toujours ressentir sur l'économie du pays et la croissance n'a pas encore retrouvé son plein potentiel (2,8 % en 2015, 3,2 % en 2016, 3,9% en 2017). En outre, l'indice de développement humain (IDH) 2018, qui prend en compte la santé, l'éducation et le niveau de vie, classe la Thaïlande en 83ème position sur 189 pays. Enfin, même si le pourcentage de la population vivant sous le seuil de pauvreté s'est réduit(10,5 % en 2014), 9% de la population demeure menacée par la pauvreté (sources : site internet du Département fédéral des affaires étrangères [https://www.dfae.admin.ch/eda/fr/dfae/representations-et-conseils-aux-voyageurs/thailande.html, mis à jour en août 2019, consulté en septembre 2019] ; site internet du Ministère français de l'économie et des finances [https://www.tresor.economie.gouv.fr/Pays/TH/indicateurs-et-conjoncture, mis à jour en juin 2018, consulté en septembre 2019] ; site internet du Ministère allemand des affaires étrangères [https://www.auswaertiges-amt.de/de/aussenpolitik/laender/thailand-node/-/201560, mis à jour en mars 2019, consulté en septembre 2019] ; rapport Indices et indicateurs de développement humain 2018 du Programme des Nations Unies pour le développement [http://hdr.undp.org/sites/default/files/2018_human_development_statistical_update_fr.pdf, consulté en septembre 2019] ; voir également ATAF 2014/1 consid. 6.2.1 ainsi qu'arrêts du TAF F-2950/2018 du 2 novembre 2018 consid. 5.2 et F-4176/2017 du 1er mars 2018 consid. 4.3). 6.3 Dès lors, les conditions socio-économiques prévalant en Thaïlande ne sont pas sans exercer une pression migratoire importante sur la population, en particulier s'agissant des personnes jeunes et sans attaches particulières. Cette tendance migratoire est encore renforcée, comme l'expérience l'a démontré, lorsque la personne concernée peut s'appuyer à l'étranger sur un réseau social (parents, amis) préexistant, comme cela est le cas en l'espèce (arrêt du TAF F-5295/2018 consid. 7.4). Compte tenu de la situation générale en Thaïlande et des nombreux avantages qu'offre la Suisse (en termes de niveau et de qualité de vie, d'emploi, de sécurité, d'infrastructures scolaires et socio-médicales, etc.), le Tribunal ne saurait partant d'emblée faire abstraction du risque d'une éventuelle prolongation par l'intéressé de son séjour sur le territoire helvétique au-delà de la durée de validité de son visa (en ce sens : arrêts du TAFF-6333/2017 du 13 juillet 2018 consid. 7.2 et F-6712/2016 du25 octobre 2017 consid. 5.3). 7.Toutefois,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financière et sociale de l'invité plaide en faveur d'un retour ponctuel de sa part dans son pays d'origine. 7.1 En l'occurrence, l'intéressé est célibataire, sans enfants et il est âgé de moins de quarante ans. Etant donné que sa cousine, le mari de celle-ci et leurs enfants habitent en Suisse (et que ceux-ci se sont révélés très proches de lui [cf. opposition du 25 septembre 2018 d'X._______ : «Y.______ est mon ami et il est le cousin de ma femme Mme Z._______. Les deux cousins sont très proches, pratiquement comme frère et soeur. Il est considéré comme l'oncle de mes deux enfants» ; cf. également les photographies et billets d'avion produits en annexes du recours afin d'attester des relations étroites entretenues avec l'invité]), il convient d'admettre que celui-ci dispose d'importantes attaches familiales et amicales sur le territoire helvétique. L'argument selon lequel «toute la famille/toutes les relations de Y._______, hormis sa cousine, se trouve(nt) en Thaïlande » (cf. opposition du 25 septembre 2018) n'est pas de nature à remettre en cause cette appréciation, ce d'autant moins que ladite affirmation n'a pas été étayée à satisfaction. En tout état de cause, le recourant n'est pas parvenu à démontrer que l'intéressé disposerait en Thaïlande d'attaches personnelles à ce point importantes (voire de liens de dépendance familiaux) qu'elles permettraient de considérer son retour comme garanti à la fin du séjour envisagé en Suisse. S'agissant de sa situation professionnelle, il apparaît que l'invité est employé par une société d'électricité dans laquelle il exerce la fonction de vendeur. Ce statut ne suffit pas à garantir son départ ponctuel à l'échéance du visa sollicité. En particulier, il ne ressort pas du dossier de la cause qu'il exerce des responsabilités à ce point importantes dans l'entreprise qui l'emploie, ni qu'il bénéficie d'un salaire tel que sa volonté de quitter l'Espace Schengen à l'issue du séjour envisagé puisse être considérée comme établie. En effet, les pièces produites à l'appui de la demande de visa Schengen indiquent que le salaire mensuel versé à l'intéressé est de 17'000 bahts thaïlandais, soit environ 553 francs suisses (taux de change au 20 septembre 2019 [voir calculateur de l'UBS SA, à l'adresse https://www.ubs.com/ch/fr/private/accounts-and-cards/information/currency-converter.html). Cette situation financière modeste - rapportée aux conditions salariales helvétiques - constitue un risque important que l'intéressé décide de prolonger son séjour en Suisse à l'échéance de son visa (arrêt du TAF F-510/2018 du 28 mai 2018 consid. 6.3.2), risque accru par la circonstance qu'il ne s'est jamais rendu dans l'Espace Schengen auparavant. 7.2 En tenant compte de l'ensemble de ces éléments, il y a lieu de retenir que la situation personnelle, familiale, financière et sociale de l'intéressé n'offre pas les garanties suffisantes pour rendre hautement vraisemblable son retour au pays à l'échéance du visa requis. 7.3 Le Tribunal souligne par ailleurs que le désir de l'invité, au demeurant parfaitement compréhensible, de rendre visite à sa cousine et sa famille en Suisse, ne constitue pas à lui seul un motif justifiant l'octroi d'un visa en sa faveur, à propos duquel il ne saurait au demeurant se prévaloir d'aucun droit.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ou dans d'autres Etats Schengen. En effet, au vu du nombre important de demandes de visas qui leur sont adressées, les autorités helvétiques ont été amenées à adopter une politique d'admission très restrictive en la matière (consid. 4 et 6.1 supra ; arrêt du TAF F-3605/2017 du 16 avril 2018 consid. 6.4). 7.4 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 7.5 Le Tribunal ne saurait dès lors admettre, au vu de l'ensemble des éléments du dossier, que le retour de l'intéressé dans sa patrie au terme du visa requis puisse être considéré comme suffisamment assuré. Même si, comme indiqué (consid. 7.4 supra), le Tribunal ne remet pas en cause l'honnêteté du recourant qui s'est porté garant du séjour de l'intéressé, il constate que les conditions d'entrée prévues par le code frontières Schengen concernant la garantie que l'invité quittera la Suisse dans le délai fixé ne sont pas remplies en l'espèce. C'est donc de manière fondée que l'autorité de première instance a rejeté l'opposition du 25 septembre 2018 et confirmé le refus d'octroyer à l'intéressé une autorisation d'entrée dans l'Espace Schengen. 7.6 En tant que le recourant reproche à la Représentation suisse à Bangkok d'avoir octroyé des visas à une maquerelle pour faire venir plus de 80 prostituées en Suisse, il se plaint implicitement d'une inégalité de traitement ou d'un arbitraire (art. 8 ou 9 Cst.). Or, il n'y a, de jurisprudence constante, en principe pas d'égalité dans l'illégalité alléguée (ATF 127 II 113 consid. 9b ; arrêt du TF 2C_721/2007 du 15 avril 2008 consid. 3.1), de sorte que le recourant ne peut en retirer aucun avantage en l'espèce. 7.7 Le Tribunal constate par ailleurs que le dossier ne laisse pas apparaître de motifs susceptibles de justifier la délivrance en faveur de l'intéressé d'un visa à validité territoriale limitée (visa VTL). 7.8 A toutes fins utiles, il sied encore de noter qu'une activité de garde d'enfant, même exercée gratuitement, doit en principe être considérée comme une activité lucrative au sens de l'art. 11 al. 2 LEtr et qu'elle est soumise à des conditions d'autorisation particulières et restrictives (à ce sujet, cf. notamment les arrêts du TAF F-5295/2018 consid. 11 etF-6097/2017 du 7 août 2018 consid. 4.2 à 4.4). Or, dans son recours, le recourant a indiqué que l'invité «aide(rait) pendant son séjour en accompagnant et en allant chercher les enfants à l'école distante de 1,2 km, quatre fois par jour», ce qui allégerait les obligations quotidiennes des parents. La question de savoir si la visite de l'intéressé avait pour objectif (du moins en partie) l'exercice d'une activité de garde d'enfant soumise à autorisation peut néanmoins demeurer indécise, dès lors que le recours doit être rejeté pour d'autres motifs. 8.Compte tenu de l'ensemble des éléments qui précèdent, on ne saurait re-procher à l'instance inférieure d'avoir refusé la délivrance d'une autorisa-tion d'entrée dans l'Espace Schengen en faveur de l'invité. Il s'ensuit que, par sa décision sur opposition du 18 octobre 2018, l'autorité inférieure n'a ni violé le droit fédéral, ni constaté des faits pertinents de manière inexacte ou incomplète ; en outre, cette décision n'est pas inopportune (art. 49 PA). En conséquence, le recours est rejeté. 9.Vu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Le recourant n'a, par ailleurs, pas droit à des dépens (art. 64 al. 1 PAa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