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F-6523/2024 vom 8. Januar 2025</w:t>
      </w:r>
    </w:p>
    <w:p>
      <w:r>
        <w:t>Bundesverwaltungsgericht, 2025-01-08, DE</w:t>
      </w:r>
    </w:p>
    <w:p>
      <w:r>
        <w:rPr>
          <w:b/>
        </w:rPr>
        <w:t xml:space="preserve">Quelle: </w:t>
      </w:r>
      <w:r>
        <w:t>https://mcp.opencaselaw.ch/entscheid/bvger_F-6523_2024</w:t>
      </w:r>
    </w:p>
    <w:p>
      <w:r>
        <w:t>FR: TAF F-6523/2024 du 8 janvier 2025</w:t>
      </w:r>
    </w:p>
    <w:p>
      <w:r>
        <w:t>IT: TAF F-6523/2024 del 8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als auch gegen den ZEMIS-Eintrag betreffend dessen Geburtsdatum.</w:t>
      </w:r>
    </w:p>
    <w:p>
      <w:r>
        <w:rPr>
          <w:b/>
        </w:rPr>
        <w:t>E. 1.2</w:t>
      </w:r>
    </w:p>
    <w:p>
      <w:r>
        <w:t>Das Verfahren richtet sich nach dem VwVG und dem VGG (Art. 37 VGG). In Bezug auf den Nichteintretens- und Wegweisungsentscheid ist ferner Art. 6 AsylG anwendbar.</w:t>
      </w:r>
    </w:p>
    <w:p>
      <w:r>
        <w:rPr>
          <w:b/>
        </w:rPr>
        <w:t>E. 1.3</w:t>
      </w:r>
    </w:p>
    <w:p>
      <w:r>
        <w:t>Die Beschwerde ist zulässig (Art. 105 AsylG; Art. 31 ff. VGG). Die übrigen Sachurteilsvoraussetzungen (Legitimation [Art. 48 Abs. 1 VwVG], Frist [Art. 108 Abs. 3 AsylG bzw. Art. 50 Abs. 1 VwVG] und Form [Art. 52 Abs. 1 VwVG]) sind erfüllt. Auf die Beschwerde ist einzutreten.</w:t>
      </w:r>
    </w:p>
    <w:p>
      <w:r>
        <w:rPr>
          <w:b/>
        </w:rPr>
        <w:t>E. 1.4</w:t>
      </w:r>
    </w:p>
    <w:p>
      <w:r>
        <w:t>Auf dem Gebiet des Asyls entscheidet das Bundesverwaltungsgericht - wie auch hier betreffend den Nichteintretens- und Wegweisungsentscheid - endgültig (Art. 83 Bst. d Ziff. 1 BGG).</w:t>
      </w:r>
    </w:p>
    <w:p>
      <w:r>
        <w:rPr>
          <w:b/>
        </w:rPr>
        <w:t>E. 1.5</w:t>
      </w:r>
    </w:p>
    <w:p>
      <w:r>
        <w:t>Gestützt auf Art. 57 Abs. 1 VwVG e contrario wurde vorliegend auf die Durchführung eines Schriftenwechsels verzichtet, da sich die Beschwerde betreffend ZEMIS-Eintrag, wie nachfolgend aufgezeigt, als von vornherein unbegründet erweist. In Bezug auf die asylrechtliche Beschwerde stützt sich der Verzicht auf einen Schriftenwechsel auf Art. 111a Abs. 1 AsylG.</w:t>
      </w:r>
    </w:p>
    <w:p>
      <w:r>
        <w:rPr>
          <w:b/>
        </w:rPr>
        <w:t>E. 2</w:t>
      </w:r>
    </w:p>
    <w:p>
      <w:r>
        <w:t>Mit asylrechtlicher Beschwerde kann die Verletzung von Bundesrecht (einschliesslich Missbrauch und Überschreiten des Ermessens) sowie die unrichtige oder unvollständige Feststellung des rechtserheblichen Sachverhalts gerügt werden (Art. 106 Abs. 1 AsylG). Hinsichtlich der ZEMIS-Berichtigung entscheidet das Bundesverwaltungsgericht mit uneingeschränkter Kognition (Art. 49 VwVG).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einer minderjährigen Person ohne familiäre Anknüpfungspunkte zu einem anderen Mitgliedstaat ist gemäss Art. 8 Abs. 4 Dublin-III-VO der Staat zuständig, in welchem jene einen Antrag auf internationalen Schutz gestellt hat, sofern es dem Wohl des Minderjährigen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der Minderjährige aufhält, nachdem er dort einen Asylantrag gestellt hat (Urteil des EuGH vom 6. Juni 2013 in der Rechtssache C-648/11, M.A., B.T. und D.A. vs. Vereinigtes Königreich, Rn. 66; zum Ganzen Urteil des BVGer F-2948/2024 vom 3. Dezember 2024 E. 4.2). Vorliegend bestünde deshalb bei gegebener Minderjährigkeit des Beschwerdeführers im Zeitpunkt der Stellung seines Asylantrags in der Schweiz eine der grundsätzlichen Wiederaufnahmezuständigkeit Bulgariens vorrangige Zuständigkeit der Schweiz (vgl. unter anderen: Urteil des BVGer F-6213/2020 vom 5. Januar 2021 E. 3.4).</w:t>
      </w:r>
    </w:p>
    <w:p>
      <w:r>
        <w:rPr>
          <w:b/>
        </w:rPr>
        <w:t>E. 4.1</w:t>
      </w:r>
    </w:p>
    <w:p>
      <w:r>
        <w:t>Aufgrund des Gesagten ist zunächst zu prüfen, ob der Beschwerdeführer im Zeitpunkt der Einreichung des Asylgesuchs minderjährig war. Diese Frage ist sowohl für die Beurteilung des Nichteintretensentscheids betreffend das Asylgesuch des Beschwerdeführers und dessen Wegweisung als auch des ZEMIS-Eintrags relevant. Es gelten jedoch unterschiedliche Beweisregeln, die nachfolgend zu erläutern sind.</w:t>
      </w:r>
    </w:p>
    <w:p>
      <w:r>
        <w:rPr>
          <w:b/>
        </w:rPr>
        <w:t>E. 4.2</w:t>
      </w:r>
    </w:p>
    <w:p>
      <w:r>
        <w:t>Im Asylverfahren ist die Minderjährigkeit - der allgemeinen asylrechtlichen Beweisregel folgend - von der asylsuchenden Person zumindest glaubhaft zu machen (vgl. BVGE 2023 VI/4 E. 6.3).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w:t>
      </w:r>
    </w:p>
    <w:p>
      <w:r>
        <w:rPr>
          <w:b/>
        </w:rPr>
        <w:t>E. 4.3</w:t>
      </w:r>
    </w:p>
    <w:p>
      <w:r>
        <w:t>Das Resultat des Altersgutachtens ist nur ein Element bei der Beurteilung der Frage der Glaubhaftigkeit einer geltend gemachten Minderjährigkeit (vgl. BVGE 2019 I/6 E. 6.1 ff.). 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körperliche Untersuchung) zum Beweis geeignet (vgl. BVGE 2018 VI/3 E. 4.2.1 f.; Urteile des BVGer E-1250/2022 vom 27. April 2022 E. 7.3.1 und A-4775/2020 vom 31. März 2021 E. 6.2.4).</w:t>
      </w:r>
    </w:p>
    <w:p>
      <w:r>
        <w:rPr>
          <w:b/>
        </w:rPr>
        <w:t>E. 4.4.1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vom 12. April 2006 über das Zentrale Migrationsinformationssystem (ZEMIS-Verordnung, SR 142.513)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4.4.2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Auf die Berichtigung besteht in einem solchen Fall ein absoluter und uneingeschränkter Anspruch (vgl. BVGE 2018 VI/3 E. 3.2). Die ZEMIS-Verordnung sieht im Übrigen in Art. 19 Abs. 3 ausdrücklich vor, dass unrichtige Daten von Amtes wegen zu berichtigen sind.</w:t>
      </w:r>
    </w:p>
    <w:p>
      <w:r>
        <w:rPr>
          <w:b/>
        </w:rPr>
        <w:t>E. 4.4.3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(BVGE 2018 VI/3 E. 3.3).</w:t>
      </w:r>
    </w:p>
    <w:p>
      <w:r>
        <w:rPr>
          <w:b/>
        </w:rPr>
        <w:t>E. 4.4.4</w:t>
      </w:r>
    </w:p>
    <w:p>
      <w:r>
        <w:t>Kann bei einer verlangten oder von Amtes wegen beabsichtigten Berichtigung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Urteil des BVGer D-2365/2024 vom 1. Mai 2024 E. 4.5 m.w.H.).</w:t>
      </w:r>
    </w:p>
    <w:p>
      <w:r>
        <w:rPr>
          <w:b/>
        </w:rPr>
        <w:t>E. 5.1</w:t>
      </w:r>
    </w:p>
    <w:p>
      <w:r>
        <w:t>Nachfolgend ist zunächst gemäss den Beweismassregeln des Asylverfahrens zu prüfen, ob der Beschwerdeführer die behauptete Minderjährigkeit glaubhaft machen konnte.</w:t>
      </w:r>
    </w:p>
    <w:p>
      <w:r>
        <w:rPr>
          <w:b/>
        </w:rPr>
        <w:t>E. 5.2</w:t>
      </w:r>
    </w:p>
    <w:p>
      <w:r>
        <w:t>Das SEM hat in der angefochtenen Verfügung korrekt erwogen, dass der Beschwerdeführer bei der Registrierung in Bulgarien, bei der Kontrolle in Lugano sowie in seinem Asylgesuch in der Schweiz und der Erstbefragung drei unterschiedliche und sich widersprechende Angaben zu seinem Geburtsdatum gemacht hat und er seine unterschriftlich bestätigten Angaben gegen sich gelten lassen muss. Hinsichtlich des lediglich auf der Untersuchung der Hand basierenden Altersgutachtens vom 7. August 2024 hat die Vorinstanz ausführlich und unter Verweis auf die Rechtsprechung des Bundesverwaltungsgerichts dargelegt, weshalb sie zum Schluss kommt, dass das Gutachten weder ein Indiz für seine Minderjährigkeit noch für seine Volljährigkeit ist und dass er in der Gesamtbeurteilung seine Minderjährigkeit nicht im Sinne von Art. 7 AsylG glaubhaft gemacht oder gar belegt hat. Dem auf Beschwerdeebene eingereichten Foto eines handschriftlichen Eintrags im Koran der Mutter kommt kein entscheiderheblicher Beweiswert zu und der Beschwerdeführer hat keine rechtsgenüglichen Identitätspapiere eingereicht, welche sein zuletzt geltend gemachtes Geburtsdatum belegen würden. Mit der Vorinstanz ist festzustellen, dass das im ZEMIS eingetragene Geburtsdatum ([...]) mit dem Altersgutachten vereinbar ist, und dass anzunehmen ist, dass er sich nachträglich als minderjährige Person ausgegeben hat, um sein wahres Alter zu verschleiern. Insgesamt hat die Vorinstanz ausführlich, überzeugend und zutreffend argumentiert, weshalb die Altersangabe des Beschwerdeführers und mithin seine geltend gemachte Minderjährigkeit nicht glaubhaft erscheint. Es kann auf diese Erwägungen verwiesen werden, denen der Beschwerdeführer nichts Stichhaltiges entgegenzuhalten vermag.</w:t>
      </w:r>
    </w:p>
    <w:p>
      <w:r>
        <w:rPr>
          <w:b/>
        </w:rPr>
        <w:t>E. 5.3</w:t>
      </w:r>
    </w:p>
    <w:p>
      <w:r>
        <w:t>Namentlich die Vorbringen des Beschwerdeführers auf Rechtsmittelebene zu den voneinander abweichenden Personalienangaben vermögen an der Richtigkeit der vorinstanzlichen Verfügung nichts zu ändern, zumal er seine Angaben jeweils unterschriftlich bestätigt hat und seine Begründung für die Abweichungen vage und unplausibel sind.</w:t>
      </w:r>
    </w:p>
    <w:p>
      <w:r>
        <w:rPr>
          <w:b/>
        </w:rPr>
        <w:t>E. 6</w:t>
      </w:r>
    </w:p>
    <w:p>
      <w:r>
        <w:t>Nach dem Gesagten ist weder die Richtigkeit des im ZEMIS eingetragenen noch diejenige des vom Beschwerdeführer angegebenen Geburtsdatums bewiesen. In Gesamtwürdigung aller Indizien ist jedoch das im ZEMIS eingetragene Geburtsdatum ([...]) als wahrscheinlicher anzusehen als das vom Beschwerdeführer beantragte Geburtsdatum ([...]). Sodann ist Ersteres auch mit dem Altersgutachten zu vereinbaren. Das im ZEMIS eingetragene Geburtsdatum ist daher unverändert zu belassen und weiterhin mit einem Bestreitungsvermerk zu versehen. Die Beschwerde ist abzuweisen, soweit darin beantragt wird, das Geburtsdatum des Beschwerdeführers im ZEMIS sei auf den (...) anzupassen.</w:t>
      </w:r>
    </w:p>
    <w:p>
      <w:r>
        <w:rPr>
          <w:b/>
        </w:rPr>
        <w:t>E. 7.1</w:t>
      </w:r>
    </w:p>
    <w:p>
      <w:r>
        <w:t>Da der Beschwerdeführer nach dem Gesagten als Volljähriger gilt, kommt die grundsätzliche Wiederaufnahmezuständigkeit Bulgariens zum Tragen (vgl. E. 3.3).</w:t>
      </w:r>
    </w:p>
    <w:p>
      <w:r>
        <w:rPr>
          <w:b/>
        </w:rPr>
        <w:t>E. 7.2</w:t>
      </w:r>
    </w:p>
    <w:p>
      <w:r>
        <w:t>Die Vorinstanz hat in der angefochtenen Verfügung korrekt erwogen, dass die grundsätzliche Zuständigkeit für die Durchführung des Asyl- und Wegweisungsverfahrens bei Bulgarien liegt, dass sich die Abnahme von Fingerabdrücken von asylsuchenden Personen auf die Verordnung (EU) Nr. 603/2013 des Europäischen Parlaments und des Rates vom 26. Juni 2013 (Eurodac-Verordnung) stützt, dass das bulgarische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Abs. 2 Dublin-III-VO ausgesetzt oder ohne Prüfung seines Asylgesuchs und/oder unter Verletzung des Non-Refoulement-Gebots in seinen Heimatsstaat überstellt würde und dass keine konkreten Hinweise dafür vorliegen, dass er bei einer Rückkehr nach Bulgarien in eine existenzielle Notlage geraten würde. Die Vorinstanz hat den Gesundheitszustand des Beschwerdeführers hinreichend abgeklärt und insbesondere seine Rücken-, Hüft- und Fussprobleme gewürdigt. Zurecht hat sie auf die ausreichende medizinische Infrastruktur in Bulgarien hingewiesen. Damit verstösst eine Rückweisung auch in dieser Hinsicht nicht gegen Art. 3 EMRK. Darüber hinaus hat die Vorinstanz in rechtsfehlerfreier Ausübung des ihr nach Art. 17 Abs. 1 Dublin-III-VO und Art. 29a Abs. 3 AsylV 1 zukommenden Ermessens von einem freiwilligen Selbsteintritt der Schweiz abgesehen. Die Vorinstanz ist demnach zu Recht in Anwendung von Art. 31a Abs. 1 Bst. b AsylG auf das Asylgesuch des Beschwerdeführers nicht eingetreten und hat in Anwendung von Art. 44 AsylG seine Wegweisung nach Bulgarien angeordnet. Zur näheren Begründung wird auf die korrekten vorinstanzlichen Erwägungen verwiesen.</w:t>
      </w:r>
    </w:p>
    <w:p>
      <w:r>
        <w:rPr>
          <w:b/>
        </w:rPr>
        <w:t>E. 7.3</w:t>
      </w:r>
    </w:p>
    <w:p>
      <w:r>
        <w:t>An der Richtigkeit der vorinstanzlichen Verfügung ändert auch die Angabe des Beschwerdeführers auf Rechtsmittelebene, dass er in Bulgarien an einen gefängnisähnlichen Ort gebracht worden sei, sich dort nicht habe frei bewegen können, sein Mobiltelefon eingezogen worden und die Hygiene schlecht gewesen sei, nichts und führt nicht zur Annahme, dass die von ihm bei einer Rückführung nach Bulgarien zu erwartenden Bedingungen derart schlecht wären, dass sie zu einer Verletzung von Art. 3 EMRK führen könnten.</w:t>
      </w:r>
    </w:p>
    <w:p>
      <w:r>
        <w:rPr>
          <w:b/>
        </w:rPr>
        <w:t>E. 8</w:t>
      </w:r>
    </w:p>
    <w:p>
      <w:r>
        <w:t>Nach dem Gesagten besteht kein Anlass, die Vorinstanz anzuweisen, von den bulgarischen Behörden individuelle Zusicherungen im Sinne des Subeventualantrags einzuholen. Das entsprechende Subeventualbegehren ist abzuweisen.</w:t>
      </w:r>
    </w:p>
    <w:p>
      <w:r>
        <w:rPr>
          <w:b/>
        </w:rPr>
        <w:t>E. 9</w:t>
      </w:r>
    </w:p>
    <w:p>
      <w:r>
        <w:t>Aus den vorstehenden Erwägungen ergibt sich, dass die Beschwerde auch betreffend den Nichteintretens- und Wegweisungsentscheid (Dispositivziffern 1-4 der angefochtenen Verfügung) abzuweisen ist.</w:t>
      </w:r>
    </w:p>
    <w:p>
      <w:r>
        <w:rPr>
          <w:b/>
        </w:rPr>
        <w:t>E. 10</w:t>
      </w:r>
    </w:p>
    <w:p>
      <w:r>
        <w:t>Mit vorliegendem Urteil werden der Antrag auf Gewährung der aufschiebenden Wirkung und der Antrag auf superprovisorische Anpassung des Geburtsdatums gegenstandslos und fällt der am 17. Oktober 2024 angeordnete Vollzugsstopp dahin.</w:t>
      </w:r>
    </w:p>
    <w:p>
      <w:r>
        <w:rPr>
          <w:b/>
        </w:rPr>
        <w:t>E. 11</w:t>
      </w:r>
    </w:p>
    <w:p>
      <w:r>
        <w:t>Das Gesuch um Gewährung der unentgeltlichen Prozessführung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