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F-6512/2024 vom 10. März 2025</w:t>
      </w:r>
    </w:p>
    <w:p>
      <w:r>
        <w:t>Bundesverwaltungsgericht, 2025-03-10, FR</w:t>
      </w:r>
    </w:p>
    <w:p>
      <w:r>
        <w:rPr>
          <w:b/>
        </w:rPr>
        <w:t xml:space="preserve">Quelle: </w:t>
      </w:r>
      <w:r>
        <w:t>https://mcp.opencaselaw.ch/entscheid/bvger_F-6512_2024</w:t>
      </w:r>
    </w:p>
    <w:p>
      <w:r>
        <w:t>FR: TAF F-6512/2024 du 10 mars 2025</w:t>
      </w:r>
    </w:p>
    <w:p>
      <w:r>
        <w:t>IT: TAF F-6512/2024 del 10 marzo 2025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 1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Conformément à l’art. 5 al. 1 LEI (RS 142.20),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 RS 311.0) ou 49a ou 49abis du Code pénal militaire du 13 juin</w:t>
      </w:r>
    </w:p>
    <w:p>
      <w:r>
        <w:t>F-6512/2024 Page 4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une période de 180 jours), l'art. 3 al. 1 de l’ordonnance fédérale du 15 août 2018 sur l’entrée et l’octroi de visas (OEV ;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L’art. 6 par. 1 du code frontières Schengen, dont le contenu coïncide largement avec celui de l’art. 5 al. 1 LEI précité (cf., entre autres, arrêt du TAF F-4089/2021 du 22 avril 2022 consid. 3.1 et les références citées),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 ci est requis en vertu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Schengen précise, quant à lui, que la date d'entrée est considérée comme le premier jour de séjour sur le territoire des Etats membres et que la date de sortie est considérée comme le dernier jour de séjour sur le territoire des Etats membres.</w:t>
      </w:r>
    </w:p>
    <w:p>
      <w:r>
        <w:rPr>
          <w:b/>
        </w:rPr>
        <w:t>E. 3.2</w:t>
      </w:r>
    </w:p>
    <w:p>
      <w:r>
        <w:t>En l’espèce, en tant que ressortissante péruvienne, la recourante, n’est pas soumise à l’obligation de visa pour entrer dans l’Espace Schengen et y séjourner légalement durant 90 jours sur une période de 180 jours (annexe II du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(cf. le site Internet du SEM, Berne, 05.04.2016, &lt;https://www.admin.ch/gov/fr/accueil/documentation/communiques.msg- id-61225.html&gt;, consulté le 25.02.2025 ; arrêt du TAF F-1410/2019 du 25</w:t>
      </w:r>
    </w:p>
    <w:p>
      <w:r>
        <w:t>F-6512/2024 Page 5 mars 2021 consid. 7.1). Arrivée dans l’Espace Schengen le 20 janvier 2024, son séjour était donc légal jusqu’au 18 avril 2024. A partir du lendemain, et jusqu’à la date de son départ le 18 septembre 2024, il ne l’était plus.</w:t>
      </w:r>
    </w:p>
    <w:p>
      <w:r>
        <w:rPr>
          <w:b/>
        </w:rPr>
        <w:t>E. 4.1</w:t>
      </w:r>
    </w:p>
    <w:p>
      <w:r>
        <w:t>Conformément à l'art. 67 al. 1 de la loi fédérale du 16 décembre 2005 sur les étrangers et l'intégration (LEI, RS 142.20),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4.3</w:t>
      </w:r>
    </w:p>
    <w:p>
      <w:r>
        <w:t>L’interdiction d’entrée est prononcée pour une durée maximale de cinq ans. Elle peut être prononcée pour une plus longue durée lorsque la personne concernée constitue une menace grave pour la sécurité et l’ordre publics (art. 67 al. 3 LEI). S’agissant plus spécifiquement des notions de sécurité et d’ordre publics auxquelles se réfère l’art. 67 LEI,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(cf. Message du Conseil fédéral du 8 mars</w:t>
      </w:r>
    </w:p>
    <w:p>
      <w:r>
        <w:t>F-6512/2024 Page 6 2002 concernant la loi sur les étrangers [ci-après : Message LEtr], FF 2002 3469, 3564). Aux termes de l'art. 77a al. 1 de l’Ordonnance relative à l’admission, au séjour et à l’exercice d’une activité lucrative du 24 octobre 2017 (OASA, RS 142.201), il y a notamment atteinte à la sécurité et de l'ordre publics en cas de violation de prescriptions légales ou de décisions d'autorité (let. a). Par ailleurs, la jurisprudence constante du Tribunal de céans considère que le fait d’entrer, de séjourner ou de travailler en Suisse sans autorisation représente une violation grave des prescriptions de police des étrangers (ATAF 2017 VII/2 consid. 6.2 ; arrêts du Tribunal F-891/2021 du 14 mars 2023 consid. 3.4) justifiant déjà en soi le prononcé d'une interdiction d’entrée de plusieurs années (arrêts du TAF F-116/2023 du 27 octobre 2023 consid. 3.2 ; F-5096/2022 du 4 octobre 2023 consid. 5.4).</w:t>
      </w:r>
    </w:p>
    <w:p>
      <w:r>
        <w:rPr>
          <w:b/>
        </w:rPr>
        <w:t>E. 4.4</w:t>
      </w:r>
    </w:p>
    <w:p>
      <w:r>
        <w:t>L’interdiction d'entrée au sens du droit des étrangers vise à empêcher l'entrée ou le retour d'un étranger dont le séjour en Suisse (respectivement dans l’Espace Schengen) est indésirable (cf., notamment, arrêt du TF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Si des raisons humanitaires ou d’autres motifs importants le justifient, l’autorité appelée à statuer peut s’abstenir de prononcer une interdiction d’entrée ou suspendre provisoirement ou définitivement une interdiction d’entrée (art. 67 al. 5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w:t>
      </w:r>
    </w:p>
    <w:p>
      <w:r>
        <w:rPr>
          <w:b/>
        </w:rPr>
        <w:t>E. 4.5</w:t>
      </w:r>
    </w:p>
    <w:p>
      <w:r>
        <w:t>Compte tenu de ce qui précède, il s’agit d’examiner, en premier lieu, si le prononcé d’une interdiction d’entrée à l’endroit de la recourante est justifié dans son principe.</w:t>
      </w:r>
    </w:p>
    <w:p>
      <w:r>
        <w:rPr>
          <w:b/>
        </w:rPr>
        <w:t>E. 4.6</w:t>
      </w:r>
    </w:p>
    <w:p>
      <w:r>
        <w:t>En l’espèce, l’autorité inférieure a retenu à l’appui de sa décision d’interdiction d’entrée d’une durée d’une année que la recourante avait attenté à la sécurité et à l’ordre publics en séjournant illégalement dans l’Espace Schengen pour une période de 153 jours après l’expiration de la durée de son séjour non soumis à autorisation.</w:t>
      </w:r>
    </w:p>
    <w:p>
      <w:r>
        <w:t>F-6512/2024 Page 7</w:t>
      </w:r>
    </w:p>
    <w:p>
      <w:r>
        <w:rPr>
          <w:b/>
        </w:rPr>
        <w:t>E. 4.7</w:t>
      </w:r>
    </w:p>
    <w:p>
      <w:r>
        <w:t>Dans son mémoire de recours, l’intéressée, qui ne conteste pas avoir outrepassé la durée autorisée de son séjour, a fait valoir que son état de santé l’aurait empêchée de quitter la Suisse dans le délai imparti. Elle a joint à son mémoire plusieurs documents démontrant les soins dont elle avait bénéficié du 19 mars jusqu’au courant du mois de septembre 2024. Elle a en particulier produit un certificat médical établi le 18 juin 2024 attestant de son impossibilité de voyager à partir de cette date en raison d’investigations médicales en cours à ce moment-là ainsi qu’une attestation faisant état de son hospitalisation entre le 15 juillet et le 6 août 2024. Enfin, elle aurait toujours respecté les conditions de séjour lors de ses précédentes visites.</w:t>
      </w:r>
    </w:p>
    <w:p>
      <w:r>
        <w:rPr>
          <w:b/>
        </w:rPr>
        <w:t>E. 4.8</w:t>
      </w:r>
    </w:p>
    <w:p>
      <w:r>
        <w:t>Le Tribunal constate que la recourante a indéniablement attenté à l’ordre et à la sécurité publics au sens de l’art. 77a al. 1 OASA. En effet, le seul fait d’entrer, de séjourner et/ou de travailler en Suisse sans autorisation constitue déjà une violation grave des prescriptions en droit des étrangers justifiant le prononcé d’une mesure d’éloignement à l’encontre de la personne étrangère concernée. Dans le cas d’espèce, il convient de relever que le simple fait que l’intéressée ait séjourné au-delà de la durée légale de 90 jours, constitue, en lui-même, un motif suffisant justifiant le prononcé d’une interdiction d’entrée, indépendamment de toutes autres considérations particulières. La méconnaissance ou la mésinterprétation de la réglementation en matière de visa ou de séjour ne constitue pas un motif de renonciation au prononcé d'une mesure d'éloignement (cf., notamment, arrêts du TAF F-7015/2023 consid. 5.2 ; F- 80/2020 du 31 mai 2021 consid. 7.3 ; F-942/2019 du 7 décembre 2020 consid. 5.3).</w:t>
      </w:r>
    </w:p>
    <w:p>
      <w:r>
        <w:rPr>
          <w:b/>
        </w:rPr>
        <w:t>E. 4.9</w:t>
      </w:r>
    </w:p>
    <w:p>
      <w:r>
        <w:t>La recourante se devait de respecter la législation en vigueur, ce qu'elle n'a manifestement pas fait. Elle ne le conteste d’ailleurs pas. Au surplus, sans vouloir minimiser les affections dont souffre la recourante, l’argument soulevé quant à son impossibilité de quitter l’Espace Schengen dans le délai imparti ne saurait convaincre. En effet, il ne ressort d’aucune pièce au dossier que la recourante était dans l’impossibilité de quitter l’Espace Schengen pour des raisons de santé déjà à partir du 19 avril 2024. Les divers documents transmis attestent uniquement d’un début de suivi médical dès le 19 mars 2024. Son hospitalisation ainsi que son impossibilité de voyager ne sont intervenus qu’à partir du mois de juin 2024, à un moment ou son séjour était déjà illégal. Même en admettant que l’intéressée souffrait de problèmes de santé, cela ne l’empêchait pas pour autant de le signaler aux autorités et de requérir une prolongation de séjour en attendant d’être à nouveau apte à voyager.</w:t>
      </w:r>
    </w:p>
    <w:p>
      <w:r>
        <w:t>F-6512/2024 Page 8</w:t>
      </w:r>
    </w:p>
    <w:p>
      <w:r>
        <w:rPr>
          <w:b/>
        </w:rPr>
        <w:t>E. 4.10</w:t>
      </w:r>
    </w:p>
    <w:p>
      <w:r>
        <w:t>La recourante n’ayant pas quitté la Suisse au terme des 90 jours de séjour légal et les faits établis n’étant pas contestés, le Tribunal est amené à conclure que l’interdiction d’entrée prononcée le 20 septembre 2024 en application de l’art. 67 al. 1 let. c LEI est justifiée dans son principe.</w:t>
      </w:r>
    </w:p>
    <w:p>
      <w:r>
        <w:rPr>
          <w:b/>
        </w:rPr>
        <w:t>E. 5.1</w:t>
      </w:r>
    </w:p>
    <w:p>
      <w:r>
        <w:t>Il convient à présent de vérifier si le prononcé d’une interdiction d’entrée d’une durée d’une année est conforme au principe de la proportionnalité.</w:t>
      </w:r>
    </w:p>
    <w:p>
      <w:r>
        <w:rPr>
          <w:b/>
        </w:rPr>
        <w:t>E. 5.2</w:t>
      </w:r>
    </w:p>
    <w:p>
      <w:r>
        <w:t>Lorsque l’autorité administrative prononce une interdiction d’entrée, elle doit respecter le principe de la proportionnalité (art. 5 al. 2 ; 36 al. 3 Cst.). Elle doit procéder, ainsi que le prévoit l’art. 96 al. 1 LEI, à une pondération de l’ensemble des intérêts publics et privés en présence (ATF 139 II 121 consid. 6.5.1 ; arrêt du TAF F-3163/2021 du 25 octobre 2021 consid. 5.4). Pour satisfaire à ce principe,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w:t>
      </w:r>
    </w:p>
    <w:p>
      <w:r>
        <w:rPr>
          <w:b/>
        </w:rPr>
        <w:t>E. 5.3</w:t>
      </w:r>
    </w:p>
    <w:p>
      <w:r>
        <w:t>En l’espèce, il est indéniable que l’éloignement de l’intéressée du territoire suisse par le prononcé d’une interdiction d’entrée est apte à atteindre le but visé, à savoir assurer le respect de l’ordre juridique suisse, soit le respect en Suisse de l’ordre établi et de la législation en vigueur (cf. arrêts du TAF F-4804/2023 du 17 juin 2024 consid. 8 ; F-1597/2023 du</w:t>
      </w:r>
    </w:p>
    <w:p>
      <w:r>
        <w:rPr>
          <w:b/>
        </w:rPr>
        <w:t>E. 5.4</w:t>
      </w:r>
    </w:p>
    <w:p>
      <w:r>
        <w:t>S’agissant de la règle de la proportionnalité au sens étroit, il sied de mettre en balance l’intérêt public précité avec l’intérêt privé de l’intéressée. A cet égard, la recourante se prévaut notamment de la relation qu’elle entretient avec ses enfants, dont trois fils vivant en Suisse, de son état de santé et de son âge.</w:t>
      </w:r>
    </w:p>
    <w:p>
      <w:r>
        <w:rPr>
          <w:b/>
        </w:rPr>
        <w:t>E. 5.5</w:t>
      </w:r>
    </w:p>
    <w:p>
      <w:r>
        <w:t>Tenant compte de ce qui précède, le Tribunal arrive à la conclusion que la mesure prise par l’autorité inférieure est nécessaire et adéquate afin de prévenir toute nouvelle atteinte à la sécurité et l’ordre publics en Suisse et qu’elle n’induit aucune limitation disproportionnée à l’intérêt privé de l’intéressée. Etant rappelé que la recourante a commis un overstay de 153 jours, la durée de la mesure – fixée en l’occurrence à une année – n’est nullement excessif. En effet, des interdictions d’une durée supérieure ont été retenues dans d’autres affaires dans lesquelles la durée de l’overstay était inférieure à celle du cas d’espèce (cf. notamment, arrêts du TAF F- 5096/2022 du 4 octobre 2023 consid. 8.4 [overstay de 81 jours] ; F- 2184/2022 du 15 mars 2023 consid. 6 [overstay de 38 jours] ; F-3270/2021 du 12 novembre 2021 consid. 5.3 [overstay de 117 jours] ; F-942/2019 précité consid. 5 [overstay de 104 jours] ; F-1438/2019 du 16 septembre 2020 consid. 6 [overstay de 94 jours]).</w:t>
      </w:r>
    </w:p>
    <w:p>
      <w:r>
        <w:rPr>
          <w:b/>
        </w:rPr>
        <w:t>E. 5.6</w:t>
      </w:r>
    </w:p>
    <w:p>
      <w:r>
        <w:t>Le Tribunal constate que les raisons avancées par la recourante ne constituent pas une raison humanitaire ou un autre motif important justifiant que le SEM s’abstienne ou décide de suspendre la mesure d’éloignement au sens de l’art. 67 al. 5 LEI. En effet, sans vouloir minimiser à nouveau le besoin accru de la recourante, éprouvée par la perte de son époux et affaiblie dans sa santé, de recevoir l’affection de ses enfants, rien ne s’oppose à ce que les rencontres familiales aient lieu en dehors de l’Espace Schengen. Du reste, il ressort du dossier de la cause que seuls trois de ses enfants résident en Suisse, les deux autres étants domiciliés respectivement en Angleterre et au Maroc, où la recourante se trouvait déjà respectivement au moment de l’envoi de son recours et de la régularisation de celui-ci.</w:t>
      </w:r>
    </w:p>
    <w:p>
      <w:r>
        <w:rPr>
          <w:b/>
        </w:rPr>
        <w:t>E. 5.7</w:t>
      </w:r>
    </w:p>
    <w:p>
      <w:r>
        <w:t>Au vu de ce qui précède, Tribunal constate que la mesure prononcée est conforme au principe de la proportionnalité et qu’il n’existe en particulier pas de raisons humanitaires ou d’autres motifs importants justifiant l’abstention ou la suspension de la mesure d’éloignement au sens de l’art. 67 al. 5 LEI.</w:t>
      </w:r>
    </w:p>
    <w:p>
      <w:r>
        <w:t>F-6512/2024 Page 10 6. 6.1 Il reste à examiner la validité de l’inscription de l’interdiction d’entrée dans le SIS ordonnée par le SEM. 6.2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 6.3 Compte tenu des circonstances du cas d'espèce, le signalement au SIS est justifié par les faits retenus et satisfait au principe de la proportionnalité. Il l’est d'autant plus que la Suisse, dans le champ d'application des règles de Schengen, se doit de préserver les intérêts de tous les Etats parties aux Accords d'association à Schengen (ATAF 2011/48 consid. 6.1 ; arrêts du TAF F-4804/2023 du 17 juin 2024 consid.</w:t>
      </w:r>
    </w:p>
    <w:p>
      <w:r>
        <w:rPr>
          <w:b/>
        </w:rPr>
        <w:t>E. 6.1</w:t>
      </w:r>
    </w:p>
    <w:p>
      <w:r>
        <w:t>Il reste à examiner la validité de l'inscription de l'interdiction d'entrée dans le SIS ordonnée par le SEM.</w:t>
      </w:r>
    </w:p>
    <w:p>
      <w:r>
        <w:rPr>
          <w:b/>
        </w:rPr>
        <w:t>E. 6.2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w:t>
      </w:r>
    </w:p>
    <w:p>
      <w:r>
        <w:rPr>
          <w:b/>
        </w:rPr>
        <w:t>E. 6.3</w:t>
      </w:r>
    </w:p>
    <w:p>
      <w:r>
        <w:t>Compte tenu des circonstances du cas d'espèce, le signalement au SIS est justifié par les faits retenus et satisfait au principe de la proportionnalité. Il l'est d'autant plus que la Suisse, dans le champ d'application des règles de Schengen, se doit de préserver les intérêts de tous les Etats parties aux Accords d'association à Schengen (ATAF 2011/48 consid. 6.1 ; arrêts du TAF F-4804/2023 du 17 juin 2024 consid. 12 ; F-4186/2023 du 7 juin 2024 consid. 4 et 8).</w:t>
      </w:r>
    </w:p>
    <w:p>
      <w:r>
        <w:rPr>
          <w:b/>
        </w:rPr>
        <w:t>E. 7</w:t>
      </w:r>
    </w:p>
    <w:p>
      <w:r>
        <w:t>Il ressort de ce qui précède que, par sa décision du 20 septembre 2024, le SEM n'a ni violé le droit fédéral, ni constaté des faits pertinents de manière inexacte ou incomplète. En outre, la décision précitée n'est pas inopportune (art. 49 PA). Partant, le recours est rejeté.</w:t>
      </w:r>
    </w:p>
    <w:p>
      <w:r>
        <w:rPr>
          <w:b/>
        </w:rPr>
        <w:t>E. 8</w:t>
      </w:r>
    </w:p>
    <w:p>
      <w:r>
        <w:t>Au vu de l'issue de la cause, il y a lieu de mettre les frais de procédure à la charge de la recourante (art. 63 al. 1 PA, en relation avec les art. 1 ss du règlement du 21 février 2008 concernant les frais, dépens et indemnités fixés par le Tribunal administratif fédéral [FITAF, RS 172.320.2]). Pour la même raison, il n'est pas alloué de dépens (art. 64 al. 1 PA a contrario en relation avec les art. 7 ss FITAF). (dispositif sur la page suivante)</w:t>
      </w:r>
    </w:p>
    <w:p>
      <w:r>
        <w:rPr>
          <w:b/>
        </w:rPr>
        <w:t>E. 10</w:t>
      </w:r>
    </w:p>
    <w:p>
      <w:r>
        <w:t>juin 2024 consid. 10.2), en s’assurant que l’intéressée ne se mette plus en violation de la législation sur les étrangers. A cet égard, l’infraction aux prescriptions du droit des étrangers dont il est question dans le cas concret doit, comme déjà mentionné (cf. consid. 4.8 supra), être qualifiée de grave.</w:t>
      </w:r>
    </w:p>
    <w:p>
      <w:r>
        <w:t>F-6512/2024 Page 9</w:t>
      </w:r>
    </w:p>
    <w:p>
      <w:r>
        <w:rPr>
          <w:b/>
        </w:rPr>
        <w:t>E. 12</w:t>
      </w:r>
    </w:p>
    <w:p>
      <w:r>
        <w:t>; F-4186/2023 du 7 juin 2024 consid. 4 et 8). 7. Il ressort de ce qui précède que, par sa décision du 20 septembre 2024, le SEM n’a ni violé le droit fédéral, ni constaté des faits pertinents de manière inexacte ou incomplète. En outre, la décision précitée n’est pas inopportune (art. 49 PA). Partant, le recours est rejeté.</w:t>
      </w:r>
    </w:p>
    <w:p>
      <w:r>
        <w:t>F-6512/2024 Page 11 8. Au vu de l’issue de la cause, il y a lieu de mettre les frais de procédure à la charge de la recourante (art. 63 al. 1 PA, en relation avec les art. 1 ss du règlement du 21 février 2008 concernant les frais, dépens et indemnités fixés par le Tribunal administratif fédéral [FITAF, RS 172.320.2]). Pour la même raison, il n’est pas alloué de dépens (art. 64 al. 1 PA a contrario en relation avec les art. 7 ss FITAF). (dispositif sur la page suivante)</w:t>
      </w:r>
    </w:p>
    <w:p>
      <w:r>
        <w:t>F-6512/2024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