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F-650/2023 vom 8. Februar 2023</w:t>
      </w:r>
    </w:p>
    <w:p>
      <w:r>
        <w:t>Bundesverwaltungsgericht, 2023-02-08, DE</w:t>
      </w:r>
    </w:p>
    <w:p>
      <w:r>
        <w:rPr>
          <w:b/>
        </w:rPr>
        <w:t xml:space="preserve">Quelle: </w:t>
      </w:r>
      <w:r>
        <w:t>https://mcp.opencaselaw.ch/entscheid/bvger_F-650_2023</w:t>
      </w:r>
    </w:p>
    <w:p>
      <w:r>
        <w:t>FR: TAF F-650/2023 du 8 février 2023</w:t>
      </w:r>
    </w:p>
    <w:p>
      <w:r>
        <w:t>IT: TAF F-650/2023 del 8 febbraio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Die Beschwerdeführerin ist zur Beschwerdeanhebung legitimiert (Art. 48 Abs. 1 VwVG). Auf die frist- und formgerecht eingereichte Beschwerde ist einzutreten (Art. 108 Abs. 3 AsylG und Art. 52 Abs. 1 VwVG).</w:t>
      </w:r>
    </w:p>
    <w:p>
      <w:r>
        <w:rPr>
          <w:b/>
        </w:rPr>
        <w:t>E. 2.1</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Die Beschwerdeführerin rügt zunächst eine unvollständige beziehungsweise unrichtige Abklärung des rechtserheblichen Sachverhaltes sowie sinngemäss eine Verletzung des Untersuchungsgrundsatzes durch die Vorinstanz. Im Wesentlichen macht sie geltend, die Vorinstanz habe die Gefahr, welcher sie in Kroatien ausgesetzt wäre, nicht individuell geprüft. So habe sich die Vorinstanz nicht mit ihren Vorbringen - physische und psychische Gewalt, Vorenthaltung von Nahrung sowie Beleidigungen durch die kroatischen Behörden - auseinandergesetzt und es unterlassen, die geschilderten Erfahrungen näher abzuklären. Zudem habe die Vorinstanz nicht hinreichend abgeklärt, ob das Asylsystem und die Aufnahmebedingungen in Kroatien systemische Mängel aufweisen würden und ob insbesondere eine Kettenabschiebung nach Burundi erfolgen könnte.</w:t>
      </w:r>
    </w:p>
    <w:p>
      <w:r>
        <w:rPr>
          <w:b/>
        </w:rPr>
        <w:t>E. 3.2</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Art. 12 N. 16). Ihre Grenze findet die Untersuchungspflicht in der Mitwirkungspflicht der Asylsuchenden (vgl. Art. 8 AsylG).</w:t>
      </w:r>
    </w:p>
    <w:p>
      <w:r>
        <w:rPr>
          <w:b/>
        </w:rPr>
        <w:t>E. 3.3</w:t>
      </w:r>
    </w:p>
    <w:p>
      <w:r>
        <w:t>Die Ausführungen der Vorinstanz zum Asylverfahren und den Aufnahmebedingungen für Asylsuchende in Kroatien zeigen auf, dass sie sich genügend mit der Situation in Kroatien auseinandergesetzt hat und zum Schluss gekommen ist, es liege keine Gefahr einer unmenschlichen oder entwürdigenden Behandlung im Sinne von Art. 4 der EU-Grundrechtecharta und Art. 3 EMRK vor. Dies trifft auch auf die geltend gemachte Androhung einer Kettenabschiebung in Kroatien zu. Angesichts dessen, dass die Beschwerdeführerin hinsichtlich der behaupteten Verfehlungen der kroatischen Behörden keinerlei Belege vorgelegt hat, waren diesbezüglich keine weitergehenden Abklärungen angezeigt. Die Vorinstanz hat überdies die vorgetragenen Erlebnisse der Beschwerdeführerin in die Entscheidfindung einfliessen lassen und eine Einzelfallprüfung vorgenommen. Soweit die Beschwerdeführerin daher mit ihren Vorbringen zusätzlich eine Verletzung der Begründungspflicht geltend macht, zielt sie damit ins Leere. Die verfahrensrechtlichen Rügen erweisen sich als unbegründet.</w:t>
      </w:r>
    </w:p>
    <w:p>
      <w:r>
        <w:rPr>
          <w:b/>
        </w:rPr>
        <w:t>E. 4.1</w:t>
      </w:r>
    </w:p>
    <w:p>
      <w:r>
        <w:t>Auf ein Asylgesuch wird in der Regel nicht eingetreten, wenn der oder die Asylsuchende in einen Drittstaat ausreisen kann, der für die Durchführung des Asyl- und Wegweisungsverfahrens staatsvertraglich zuständig ist (Art. 31a Abs. 1 Bst. b AsylG). In diesem Fall verfügt die Vorinstanz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w:t>
      </w:r>
    </w:p>
    <w:p>
      <w:r>
        <w:rPr>
          <w:b/>
        </w:rPr>
        <w:t>E. 4.3</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 23, 24, 25 und 29 wieder aufzunehmen, um das Verfahren zur Bestimmung des zuständigen Mitgliedstaats zum Abschluss zu bringen (Art. 20 Abs. 5 Dublin-III-VO). Diese Bestimmung findet auch - wie vorliegend - im Falle der Weiterreise eines Antragstellers in einen anderen Mitgliedstaat bei noch nicht abgeschlossenem Zuständigkeitsverfahren Anwendung (vgl. Filzwieser/Sprung, Dublin-III-Verordnung, 2014, K. 19 zu Art. 20).</w:t>
      </w:r>
    </w:p>
    <w:p>
      <w:r>
        <w:rPr>
          <w:b/>
        </w:rPr>
        <w:t>E. 4.4</w:t>
      </w:r>
    </w:p>
    <w:p>
      <w:r>
        <w:t>Vorliegend ergab ein Abgleich der Fingerabdrücke der Beschwerdeführerin, dass sie am 25. November 2022 in Kroatien aufgegriffen und daktyloskopisch erfasst worden war. Gleichentags hatte sie gemäss Auszug aus der «Eurodac»-Datenbank ein Asylgesuch gestellt (vgl. Sachverhalt A). Die kroatischen Behörden stimmten dem Wiederaufnahmeersuchen der Vorinstanz am 20. Januar 2023 gestützt auf Art. 20 Abs. 5 Dublin-III-VO zu und wiesen darauf hin, dass die Beschwerdeführerin am 25. November 2022 ihren Willen zum Ausdruck gebracht habe, um internationalen Schutz zu ersuchen, das Aufnahmezentrum vor Durchführung einer Anhörung jedoch verlassen habe. Damit sind sowohl die Antragsstellung in Kroatien als auch der Umstand, dass das kroatische Verfahren zur Bestimmung des für das Asylgesuch der Beschwerdeführerin zuständigen Mitgliedstaats gemäss Art. 20 Abs. 5 Dublin-III-VO noch nicht abgeschlossen wurde und nach einer Rücküberstellung der Beschwerdeführerin fortgesetzt wird, als erstellt zu betrachten (vgl. Urteil des BVGer F-5023/2022 vom 23. November 2022 E. 4.4 f. m.H.). Die Zuständigkeit Kroatiens ist somit grundsätzlich gegeben, was von der Beschwerdeführerin auch nicht (mehr) bestritten wird.</w:t>
      </w:r>
    </w:p>
    <w:p>
      <w:r>
        <w:rPr>
          <w:b/>
        </w:rPr>
        <w:t>E. 5</w:t>
      </w:r>
    </w:p>
    <w:p>
      <w:r>
        <w:t>Die Beschwerdeführerin macht unter Berufung auf verschiedene öffentlich zugängliche Berichte zur allgemeinen Situation von Asylsuchenden in Kroatien geltend, es würden dort systemische Mängel vorliegen, weshalb die Schweiz gestützt auf Art. 3 Abs. 2 Dublin-III-VO auf ihr Asylgesuch einzutreten habe. Sie selbst sei beim Überqueren der Grenze in Kroatien von männlichen Polizisten in einem Wald durchsucht worden. Sie habe sich dabei ausziehen müssen, wobei über sie gelacht und gesagt worden sei, dass sie stinke. Sie habe dabei auch weitere Formen der sexualisierten Gewalt erleben müssen. Im Falle einer Rückweisung nach Kroatien bestehe ein hohes Risiko einer Retraumatisierung. Dabei handle es sich um eine Verletzung von Art. 2 und Art. 3 des Übereinkommens zur Beseitigung jeder Form von Diskriminierung der Frau. Nach der Durchsuchung habe man sie in einen anderen Wald gebracht, wo sie ein zweites Mal aufgegriffen worden sei. Auf einem Polizeiposten seien ihr die Fingerabdrücke abgenommen worden und sie sei ohne Übersetzung dazu aufgefordert worden, ein Formular zu unterschreiben. Sie sei somit nicht über ihre Rechte und das Asylverfahren informiert worden, was dem in Art. 4 Abs. 1 und Abs. 2 Dublin-III-VO verankerten Recht auf Information widerspreche. All diese Vorkommnisse seien als unmenschliche Behandlung und Folter im Sinne von Art. 3 EMRK und Art. 1 FoK zu werten.</w:t>
      </w:r>
    </w:p>
    <w:p>
      <w:r>
        <w:rPr>
          <w:b/>
        </w:rPr>
        <w:t>E. 6.1</w:t>
      </w:r>
    </w:p>
    <w:p>
      <w:r>
        <w:t>Nachfolgend ist im Licht von Art. 3 Abs. 2 Dublin-III-VO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mit sich bringen würden.</w:t>
      </w:r>
    </w:p>
    <w:p>
      <w:r>
        <w:rPr>
          <w:b/>
        </w:rPr>
        <w:t>E. 6.2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ist grundsätzlich davon auszugehen, dass es seinen entsprechenden völkerrechtlichen Verpflichtungen nachkommt. Es darf ausserdem davon ausgegangen werden, dass Kroatien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6.3</w:t>
      </w:r>
    </w:p>
    <w:p>
      <w:r>
        <w:t>Gemäss Praxis des Bundesverwaltungsgerichts im Bereich der Wiederaufnahmeverfahren liegen zum heutigen Zeitpunkt keine konkreten Gründe für die Annahme vor, das Asylverfahren (inklusive Zuständigkeitsverfahren) und die Aufnahmebedingungen für Antragstellende in Kroatien würden systemische Schwachstellen im Sinne von Art. 3 Abs. 2 zweiter und dritter Satz Dublin-III-VO aufweisen (vgl. dazu beispielsweise die Urteile des BVGer F-3426/2022 vom 20. Dezember 2022 E. 5.5; F-5543/2022 vom 7. Dezember 2022 E. 4.2; F-1653/2022 vom 21. April 2022 E. 6.2; D-1404/2022 vom 30. März 2022; D-735/2022 vom 28. Februar 2022 E. 6.5.2; D-735/2022 vom 22. Februar 2022 E. 6.5.2). Für eine Änderung der Rechtsprechung besteht auch in Würdigung der von der Beschwerdeführerin gemachten Äusserungen zu ihrer Behandlung in Kroatien, der zitierten Berichte und dem Verweis auf die Rechtsprechung deutscher Gerichte keine Veranlassung. Unter diesen Umständen ist die Anwendung von Art. 3 Abs. 2 Dublin-III-VO nicht gerechtfertigt.</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7.2</w:t>
      </w:r>
    </w:p>
    <w:p>
      <w:r>
        <w:t>Die Beschwerdeführerin hat kein konkretes und ernsthaftes Risiko dargetan, die kroatischen Behörden würden sich weigern, sie wieder 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hat die Beschwerdeführerin nicht dargetan, die sie bei einer Rückführung erwartenden Bedingungen in Kroatien seien derart schlecht, dass sie zu einer Verletzung von Art. 4 der EU-Grundrechtecharta, Art. 3 EMRK oder Art. 3 FoK führen könnten. Die Beschwerdeführerin hat auch keine konkreten Hinweise für die Annahme dargetan, Kroatien würde ihr dauerhaft die ihr gemäss Aufnahmerichtlinie zustehenden minimalen Lebensbedingungen vorenthalten. Bei einer allfälligen vorübergehenden Einschränkung könnte sie sich im Übrigen nötigenfalls an die dortigen Behörden wenden und die ihr zustehenden Aufnahmebedingungen auf dem Rechtsweg einfordern (vgl. Art. 26 Aufnahmerichtlinie).</w:t>
      </w:r>
    </w:p>
    <w:p>
      <w:r>
        <w:rPr>
          <w:b/>
        </w:rPr>
        <w:t>E. 7.3</w:t>
      </w:r>
    </w:p>
    <w:p>
      <w:r>
        <w:t>Hinsichtlich der gerügten Verletzung von Art. 2 und Art. 3 des Übereinkommens zur Beseitigung jeder Form von Diskriminierung der Frau vom 18. Dezember 1979 (CEDAW, SR 0.108) ist festzuhalten, dass die Normen des Übereinkommens zwar für die völkerrechtskonforme Auslegung des innerstaatlichen Rechts von Bedeutung sind (vgl. BGE 137 I 305 E. 3.2), sich in erster Linie aber an die gesetzgeberischen, politischen und gesellschaftlichen Institutionen der Mitgliedstaaten richtet. Demnach hat sich mit diesem Vorbringen nicht das Gericht, sondern primär die Legislative, die Politik und die Gesellschaft auseinanderzusetzen (vgl. statt vieler die Urteile des BVGer D-4360/2022 vom 17. Oktober 2022 E. 7.2.3, F-4002/2022 vom 26. September 2022 E. 8.4 und E-1325/2022 vom 31. März 2022 E. 4.3). Die Beschwerdeführerin kann im vorliegenden Fall demnach aus dem CEDAW nichts zu ihren Gunsten ableiten. Darüber hinaus hat sie nicht ausreichend dargetan, inwiefern ihre Überstellung nach Kroatien diese Konvention verletzen würde.</w:t>
      </w:r>
    </w:p>
    <w:p>
      <w:r>
        <w:rPr>
          <w:b/>
        </w:rPr>
        <w:t>E. 7.4</w:t>
      </w:r>
    </w:p>
    <w:p>
      <w:r>
        <w:t>Des Weiteren liegen keine konkreten Anhaltspunkte vor, wonach die Gesundheit der Beschwerdeführerin bei einer Überstellung nach Kroatien ernsthaft gefährdet würde. Ihre geltend gemachten gesundheitlichen Beschwerden - Schlafprobleme, Migräne und psychische Probleme - sind nicht von einer derartigen Schwere, dass von einer Überstellung nach Kroatien abgesehen werden müsste (vgl. Urteil des EGMR Paposhvili gegen Belgien vom 13. Dezember 2016, Grosse Kammer 41738/10, §§ 180-193 m.w.H.). Der medizinische Sachverhalt erweist sich vor diesem Hintergrund mit Blick auf eine mögliche Verletzung von Art. 3 EMRK auch als hinreichend abgeklärt. Sollte sie nach der Rückkehr nach Kroatien eine medizinische Behandlung benötigen, ist darauf hinzuweisen, dass die Mitgliedstaaten verpflichtet sind, den Antragstellenden die erforderliche medizinische Versorgung, die zumindest die Notversorgung und die unbedingt erforderliche Behandlung von Krankheiten und schweren psychischen Störungen umfasst, zugänglich zu machen (Art. 19 Abs. 1 Aufnahmerichtlinie). Antragstellenden Personen mit besonderen Bedürfnissen ist die erforderliche medizinische oder sonstige Hilfe, einschliesslich psychologischer Betreuung, zu gewähren (Art. 19 Abs. 2 Aufnahmerichtlinie).</w:t>
      </w:r>
    </w:p>
    <w:p>
      <w:r>
        <w:rPr>
          <w:b/>
        </w:rPr>
        <w:t>E. 7.5</w:t>
      </w:r>
    </w:p>
    <w:p>
      <w:r>
        <w:t>Zusammenfassend liegt kein Grund vor für die Anwendung der Ermessensklausel von Art. 17 Dublin-III-VO beziehungswiese Art. 29a Abs. 3 AsylV 1. Weder ist die Schweiz völkerrechtlich verpflichtet, auf das Asylgesuch einzutreten, noch liegen humanitäre Gründe vor, welche einen Selbsteintritt nahelegen würden.</w:t>
      </w:r>
    </w:p>
    <w:p>
      <w:r>
        <w:rPr>
          <w:b/>
        </w:rPr>
        <w:t>E. 8</w:t>
      </w:r>
    </w:p>
    <w:p>
      <w:r>
        <w:t>Die Vorinstanz ist zu Recht gestützt auf Art. 31a Abs. 1 Bst. b AsylG auf das Asylgesuch der Beschwerdeführerin nicht eingetreten und hat die Überstellung nach Kroatien angeordnet. Nach dem Gesagten ist die Beschwerde abzuweisen. Mit dem vorliegenden Urteil fällt der am 3. Februar 2023 angeordnete Vollzugsstopp dahin. Das Gesuch um Erteilung der aufschiebenden Wirkung ist gegenstandslos geworden.</w:t>
      </w:r>
    </w:p>
    <w:p>
      <w:r>
        <w:rPr>
          <w:b/>
        </w:rPr>
        <w:t>E. 9</w:t>
      </w:r>
    </w:p>
    <w:p>
      <w:r>
        <w:t>Das Gesuch um Gewährung der unentgeltlichen Prozessführung (Art. 65 Abs. 1 VwVG) ist abzuweisen, da die Begehren - wie sich aus den vorstehenden Erwägungen ergibt - von Anfang an als aussichtslos zu bezeichnen waren. Die Verfahrenskosten sind der Beschwerdeführerin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