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F-6497/2024 vom 25. Oktober 2024</w:t>
      </w:r>
    </w:p>
    <w:p>
      <w:r>
        <w:t>Bundesverwaltungsgericht, 2024-10-25, DE</w:t>
      </w:r>
    </w:p>
    <w:p>
      <w:r>
        <w:rPr>
          <w:b/>
        </w:rPr>
        <w:t xml:space="preserve">Quelle: </w:t>
      </w:r>
      <w:r>
        <w:t>https://mcp.opencaselaw.ch/entscheid/bvger_F-6497_2024</w:t>
      </w:r>
    </w:p>
    <w:p>
      <w:r>
        <w:t>FR: TAF F-6497/2024 du 25 octobre 2024</w:t>
      </w:r>
    </w:p>
    <w:p>
      <w:r>
        <w:t>IT: TAF F-6497/2024 del 25 ottobre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Beschwerde (Art. 105 AsylG; Art. 31 ff. VGG) und die Sachurteilsvoraussetzungen sind erfüllt, so dass auf die Beschwerde - unter Vorbehalt von Ziff. 1.2 - einzutreten ist (Art. 48 Abs. 1 VwVG, Art. 108 Abs. 3 AsylG und Art. 52 Abs. 1 VwVG). Das Gericht entscheidet über diese endgültig (Art. 83 Bst. d Ziff. 1 BGG).</w:t>
      </w:r>
    </w:p>
    <w:p>
      <w:r>
        <w:rPr>
          <w:b/>
        </w:rPr>
        <w:t>E. 1.2</w:t>
      </w:r>
    </w:p>
    <w:p>
      <w:r>
        <w:t>In der Rechtsmitteleingabe (S. 5) beantragt der Beschwerdeführer im Fliesstext sinngemäss und erstmals vor Bundesverwaltungsgericht die Feststellung seiner Staatenlosigkeit. Gemäss Art. 14 Abs. 3 der Organisationsverordnung vom 17. November 1999 für das eidgenössische Justiz- und Polizeidepartement (EJPD; SR 172.213.1) ist in der Schweiz das SEM zuständig für die Durchführung von Verfahren zur Anerkennung der Staatenlosigkeit. Zumal das SEM bisher nicht über ein Gesuch des Beschwerdeführers um Anerkennung der Staatenlosigkeit befunden hat, ist mangels funktioneller Zuständigkeit des Bundesverwaltungsgerichts auf diesen Antrag nicht einzutreten. Unter diesen Umständen erübrigen sich Weiterungen zu den in diesem Zusammenhang sinngemäss vorgetragenen Rügen.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bemängelt in formeller Hinsicht, die Vorinstanz habe keine angemessene Einzelfallprüfung vorgenommen. Zunächst habe sie im Hinblick auf Art. 17 Abs. 1 Dublin-III-VO nicht geprüft, ob völkerrechtliche Verpflichtungen, insbesondere seine angenommene Staatenlosigkeit gegen eine Überstellung nach Rumänien spreche. Sein (Nennung Verwandter) sei in der Schweiz als staatenlos anerkannt; daher sei auch in seinem Fall von der Staatenlosigkeit auszugehen, was in einem entsprechenden Verfahren festzustellen sei. Ferner sei der Sachverhalt hinsichtlich seines psychischen Gesundheitszustandes angesichts eines bevorstehenden psychiatrischen Termins und der noch ausstehenden Diagnose ungenügend abgeklärt. Zudem sei nicht ausreichend abgeklärt, ob in Bezug auf seine in der Schweiz lebenden (Nennung Verwandte) ein besonderes Abhängigkeitsverhältnis bestehe. Im Vorgehen des SEM sei eine Verletzung des Untersuchungsgrundsatzes zu erkennen. Diese formelle Rüge ist vorab zu beurteilen.</w:t>
      </w:r>
    </w:p>
    <w:p>
      <w:r>
        <w:rPr>
          <w:b/>
        </w:rPr>
        <w:t>E. 3.2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worden ist. Unvollständig ist sie, wenn die Behörde trotz der geltenden Untersuchungsmaxime den Sachverhalt nicht von Amtes wegen rechtsgenüglich abgeklärt oder nicht alle für den Entscheid wesentlichen Sachumstände berücksichtigt hat (vgl. BVGE 2008/43 E. 7.5.6; vgl. auch Benjamin Schindler, in: Kommentar zum VwVG, 2. Aufl. 2019, Art. 49 N. 29). Das SEM hat den rechtserheblichen Sachverhalt hinreichend abgeklärt. Es hat unter Bezugnahme auf die Schilderungen des Beschwerdeführers und der Nennung der im Zeitpunkt des Dublin-Entscheids vorliegenden Unterlagen die wesentlichen Sachumstände des vorliegenden Falles bearbeitet und geprüft. Insbesondere hat es in einlässlicher Weise Stellung genommen zu den von ihm dargelegten gesundheitlichen Problemen, den diesbezüglich erstellten medizinischen Akten und Abklärungen sowie der Anwesenheit seiner beiden (Nennung Verwandte) in der Schweiz und dem Bestehen eines allfälligen Abhängigkeitsverhältnisses im Sinne von Art. 16 Abs. 1 Dublin-III-VO Stellung (vgl. SEM act. 26 S. 7). Die in den Akten liegenden ärztlichen Unterlagen attestieren dem Beschwerdeführer (Nennung Diagnosen und ärztliche Zeugnisse) . Weiter erhält der Beschwerdeführer derzeit das Medikament (...) (vgl. SEM act. 19 und act. 21). Gemäss dem (Nennung Beweismittel) wurde der Beschwerdeführer am (...) nach einer Notfallkonsultation in Begleitung eines (Nennung Verwandter) zurück ins Bundesasylzentrum entlassen bei Fehlen akuter Gefährdungsaspekte. Es wurden ihm keine Medikamente abgegeben und keine neuen Medikamente verordnet. Als kurzzeitige Empfehlung wurde festgehalten, ihn zur psychischen Entlastung die folgende Nacht beim (Nennung Verwandter) verbringen zu lassen und ihm mittelfristig ein Einzelzimmer zur Verfügung zu stellen; auch solle er psychiatrisch (idealerweise in Landessprache oder mit Dolmetscher) weiterbetreut werden, da der hochgradige Verdacht auf (Nennung Diagnose) bestehe (vgl. SEM act. 23 S. 2). Gemäss einer Auskunft des Gesundheitsdienstes des BAZ vom 2. Oktober 2024 habe der Beschwerdeführer einen psychiatrischen Termin am 21. Oktober 2024. Gegenüber dem Gesundheitsdienst habe er geäussert, Flashbacks zu haben, insbesondere bei gewissen Geräuschen (so Bombardierungen, die er erlebt habe), nicht schlafen zu können, und dass es ihm ein wenig besser gehe (vgl. SEM act. 24). Aus den in der Verfügung ersichtlichen Hinweisen, welche die oben aufgeführten Punkte ausführlich mitberücksichtigen, ergibt sich ein aktuelles Bild seiner gesundheitlichen Verfassung, weshalb das SEM nicht gehalten war, noch weitere Abklärungen in dieser Hinsicht zu treffen. Alleine die Möglichkeit, dass sich der fachärztlich geäusserte hochgradige Verdacht auf (Nennung Diagnose) anlässlich einer weiteren psychiatrischen Konsultation am 21. Oktober 2024 bestätigen könnte, vermag noch kein Unterlassen des SEM, mithin einen formellen Mangel mit Blick auf weitere Sachverhaltsabklärungen in medizinischer Hinsicht zu begründen (antizipierte Beweiswürdigung; vgl. BVGE 2008/24 E. 7.2 S. 357 sowie E. 7.2.2 hienach). Der medizinische Sachverhalt ist demnach als genügend abgeklärt zu erachten. Überdies liegt in diesem Zusammenhang auch keine Verletzung des rechtlichen Gehörs (Begründungspflicht) vor, zumal das SEM im angefochtenen Entscheid hinreichend nachvollziehbar aufgezeigt hat, von welchen Überlegungen es sich bei der Beurteilung der persönlichen und gesundheitlichen Situation des Beschwerdeführers leiten liess und es ihm möglich war, sich ein Bild über die Tragweite des vorinstanzlichen Entscheids zu machen und diesen sachgerecht anzufechten.</w:t>
      </w:r>
    </w:p>
    <w:p>
      <w:r>
        <w:rPr>
          <w:b/>
        </w:rPr>
        <w:t>E. 3.3</w:t>
      </w:r>
    </w:p>
    <w:p>
      <w:r>
        <w:t>Die formellen Rügen erweisen sich somit als unbegründet. Es besteht keine Veranlassung, die Sache zur weiteren Sachverhaltsfeststellung an die Vorinstanz zurückzuweisen. Das Rückweisungsbegehren ist daher abzuweisen.</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Die rumänischen Behörden stimmten dem Wiederaufnahmegesuch des SEM am 30. September 2024 zu (vgl. SEM act. 15), weshalb dessen Zuständigkeit gemäss Art. 25 Abs. 2 Dublin-III-VO grundsätzlich feststeht.</w:t>
      </w:r>
    </w:p>
    <w:p>
      <w:r>
        <w:rPr>
          <w:b/>
        </w:rPr>
        <w:t>E. 5.2</w:t>
      </w:r>
    </w:p>
    <w:p>
      <w:r>
        <w:t>Weiter sind auch aus Art. 16 Abs. 1 Dublin-III-VO keine Gründe ersichtlich, die eine Pflicht der Schweiz zur Prüfung des Asylgesuchs des Beschwerdeführers begründen könnten. Seine sich in der Schweiz aufhaltenden Geschwister (Nennung Verwandte) stellen weder Familienangehörige im Sinne von Art. 2 Bst. g Dublin-III-VO dar, noch fällt die Beziehung zu ihnen in den Anwendungsbereich von Art. 16 Abs. 1 der Dublin-III-VO. Das Bundesverwaltungsgericht verkennt nicht, dass ihm die erwähnten (Nennung Verwandte) eine emotionale Stütze bei Arztterminen und schwierigen persönlichen Momenten sein dürften. Ein besonderes Abhängigkeitsverhältnis wegen schwerer Krankheit ist jedoch zu verneinen (vgl. dazu BVGE 2017 VI/5 E. 8.3.3). Weder wohnt der Beschwerdeführer bei seinen (Nennung Verwandte) noch wird dargelegt, dass er zwingend auf eine ständige Betreuung durch diese angewiesen wäre. Zudem haben seine (Nennung Verwandte) Syrien bereits Jahre vor seiner Ausreise verlassen. Das SEM hat zu Recht kein Abhängigkeitsverhältnis im Sinne des Art. 16 Dublin-III-VO festgestellt. Die grundsätzliche Zuständigkeit Rumäniens bleibt deshalb bestehen.</w:t>
      </w:r>
    </w:p>
    <w:p>
      <w:r>
        <w:rPr>
          <w:b/>
        </w:rPr>
        <w:t>E. 6.1</w:t>
      </w:r>
    </w:p>
    <w:p>
      <w:r>
        <w:t>Gemäss Rechtsprechung des Bundesverwaltungsgerichts gibt es entgegen der Ansicht des Beschwerdeführers aktuell keine Gründe für die Annahme, wonach das Asylverfahren und die Aufnahmebedingungen in Rumänien systemische Schwachstellen im Sinne von Art. 3 Abs. 2 Sätze 2 und 3 Dublin-III-VO aufwiesen (vgl. statt vieler: Urteile des BVGer F-5680/2024 vom 17. September 2024 E. 4.2; E 3975/2024 vom 28. Juni 2024 E. 4.1; F-3704/2023 vom 23. Mai 2024 E. 5.2; E-4022/2023 vom 17. Januar 2024 E. 4.3; je m.H.). Das Bundesverwaltungsgericht anerkennt in diesem Kontext zwar, dass die Situation von Asylsuchenden in Rumänien schwierig sein kann, geht aber davon aus, dass das Land grund-sätzlich gewillt und fähig sei, Schutzberechtigten die ihnen zustehenden Rechte zu gewähren, beziehungsweise dass diese Ansprüche bei Bedarf auf dem Rechtsweg durchgesetzt werden könnten. Auch unter Berücksichtigung der in der Beschwerde zitierten Rechtsprechung ausländischer Gerichte und Berichte von Nichtregierungsorganisationen ist nicht anzunehmen, Rumänien verstosse systematisch gegen seine vertraglichen Verpflichtungen als zuständiger Dublin-Mitgliedstaat im Falle einer Überstellung von Asylsuchenden.</w:t>
      </w:r>
    </w:p>
    <w:p>
      <w:r>
        <w:rPr>
          <w:b/>
        </w:rPr>
        <w:t>E. 6.2</w:t>
      </w:r>
    </w:p>
    <w:p>
      <w:r>
        <w:t>Unter diesen Umständen ist die Anwendung von Art. 3 Abs. 2 Dublin-III-VO nicht gerechtfertigt.</w:t>
      </w:r>
    </w:p>
    <w:p>
      <w:r>
        <w:rPr>
          <w:b/>
        </w:rPr>
        <w:t>E. 7.1</w:t>
      </w:r>
    </w:p>
    <w:p>
      <w:r>
        <w:t>Nachfolgend ist zu prüfen, ob die Vorinstanz das Selbsteintrittsrecht nach Art. 17 Abs. 1 erster Satz Dublin-III-VO, konkretisiert in Art. 29a Abs. 3 AsylV 1, zu Recht nicht ausgeübt hat.</w:t>
      </w:r>
    </w:p>
    <w:p>
      <w:r>
        <w:rPr>
          <w:b/>
        </w:rPr>
        <w:t>E. 7.2</w:t>
      </w:r>
    </w:p>
    <w:p>
      <w:r>
        <w:t>Mangels systemischer Mängel im Sinne von Art. 3 Abs. 2 Dublin-III-VO kann vermutungsweise davon ausgegangen werden, dass Rumänien seinen völker- und gemeinschaftsrechtlichen Verpflichtungen gegenüber Personen in der Situation des Beschwerdeführers nachkommt und insbesondere auch die Rechte respektiert und schützt, die sich aus den Richtlinien 2013/32/EU und 2013/33/EU vom 26. Juni 2013 des Europäischen Parlaments und des Rates (Verfahrens- und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7.2.1</w:t>
      </w:r>
    </w:p>
    <w:p>
      <w:r>
        <w:t>Dies gelingt dem Beschwerdeführer nicht. Allein aus dem Umstand, dass die rumänischen Asylbehörden sein Asylgesuch offenbar bereits abgelehnt haben, lässt sich nicht ableiten, deren Entscheid sei nicht im Rahmen eines rechtsstaatlich korrekten Verfahrens ergangen. Es liegen auch keine Anhaltspunkte vor, die darauf schliessen lassen, das Land habe im Falle des Beschwerdeführers den Grundsatz des Non-Refoulement gemäss Art. 33 FK und Art. 3 EMRK nicht beachtet und beabsichtige, ihn nach Syrien zurückzuschaffen, ohne geprüft zu haben, ob ihm dort flüchtlingsrechtlich relevante Verfolgung oder eine menschenrechtswidrige Behandlung drohen würde. Im Übrigen hat der Beschwerdeführer die Möglichkeit, den rumänischen Behörden allfällige Wiederaufnahme- oder Wiedererwägungsgründe (so auch mit Blick auf die geltend gemachte Staatenlosigkeit) im Rahmen eines Folgeantrags nach Art. 40 der Verfahrensrichtlinie zu unterbreiten und auf diese Weise eine erneute Überprüfung des negativen Entscheides zu erwirken. Die geltend gemachte schlechte Behandlung durch rumänische Polizisten - welche sich im Übrigen auf Vorkommnisse nach seiner illegalen Einreise und nicht auf den Aufenthalt in den dortigen Aufenthaltsstrukturen bezieht - rechtfertigt es nicht, davon auszugehen, dass er bei einer Rückkehr mit hoher Wahrscheinlichkeit Opfer einer unmenschlichen oder erniedrigenden Behandlung im Sinne von Art. 3 EMRK, Art. 3 FoK, Art. und 4 EU-Grundrechtecharta wird. Es bestehen auch keine Anhaltspunkte für die Annahme, das Land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rumänischen Behörden wenden und seine Rechte auf dem Rechtsweg einfordern (vgl. Art. 26 Aufnahmerichtlinie). Dies gilt auch in Bezug auf ein allfälliges Fehlverhalten von dortigen Polizisten. Die in diesem Zusammenhang gemachten Ausführungen zum Versuch von sexualisierter Gewalt an seiner Person sind im Übrigen weder belegt noch hinreichend konkretisiert. Das Land ist ein funktionierender Rechtsstaat und die Behörden sind gewillt und fähig, staatlichen Schutz zu gewähren.</w:t>
      </w:r>
    </w:p>
    <w:p>
      <w:r>
        <w:rPr>
          <w:b/>
        </w:rPr>
        <w:t>E. 7.2.2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macht nicht geltend, dass er nicht reisefähig sei. Sein Gesundheitszustand vermag eine Unzulässigkeit im Sinne der geschilderten Rechtsprechung nicht zu rechtfertigen. Die aktenkundigen gesundheitlichen Probleme sind nicht von einer derartigen Schwere, dass aus humanitären Gründen von einer Überstellung abgesehen werden müsste. Sodann ist allgemein bekannt, dass Rumänien über eine medizinische Infrastruktur verfügt, die die Behandlung (Nennung Leiden) und weiterer psychischer oder physischer Beeinträchtigungen ermöglicht. Die 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liegen keine Hinweise vor, wonach Rumänien dem Beschwerdeführer eine adäquate medizinische Behandlung verweigern würde. Den Akten ist zu entnehmen, dass die schweizerischen Behörden, die mit dem Vollzug der angefochten Verfügung beauftragt sind, den medizinischen Umständen bei der Bestimmung der konkreten Modalitäten der Überstellung des Beschwerdeführers Rechnung tragen und die rumänischen Behörden vorgängig in geeigneter Weise über die spezifischen medizinischen Umstände informieren werden (vgl. SEM act. 15 S. 10; Art. 31 f. Dublin-III-VO).</w:t>
      </w:r>
    </w:p>
    <w:p>
      <w:r>
        <w:rPr>
          <w:b/>
        </w:rPr>
        <w:t>E. 7.2.3</w:t>
      </w:r>
    </w:p>
    <w:p>
      <w:r>
        <w:t>Sodann ist hinsichtlich einer Suizidgefahr beim Beschwerdeführer festzuhalten, dass gemäss bundesgerichtlicher Rechtsprechung Suizidalität für sich allein kein Vollzugshindernis darstellt (vgl. Urteile des BGer 2C_221/2020 vom 19. Juni 2020 E. 2; 2C_856/2015 vom 10. Oktober 2015 E. 3.2.1), was auch der Praxis des Bundesverwaltungsgerichts entspricht (vgl. etwa Urteil des BVGer F-6033/2023 vom 10. November 2023 E. 10.5 m.w.H.).</w:t>
      </w:r>
    </w:p>
    <w:p>
      <w:r>
        <w:rPr>
          <w:b/>
        </w:rPr>
        <w:t>E. 7.3</w:t>
      </w:r>
    </w:p>
    <w:p>
      <w:r>
        <w:t>Die angefochtene Verfügung ist schliesslich auch hinsichtlich der Prüfung der humanitären Gründe nicht zu beanstanden. Das SEM verfügt praxisgemäss bei der Anwendung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Dies ist hier der Fall.</w:t>
      </w:r>
    </w:p>
    <w:p>
      <w:r>
        <w:rPr>
          <w:b/>
        </w:rPr>
        <w:t>E. 7.4</w:t>
      </w:r>
    </w:p>
    <w:p>
      <w:r>
        <w:t>Es liegen somit weder völkerrechtliche Vollzugshindernisse vor, welche die Schweiz zum Selbsteintritt verpflichten würden, noch bestehen Rechtsfehler bei der Ermessensbetätigung. Es besteht folglich kein Grund für einen Selbsteintritt der Schweiz gemäss Art. 29a Abs. 3 AsylV 1 in Verbindung mit Art. 17 Dublin-III-VO.</w:t>
      </w:r>
    </w:p>
    <w:p>
      <w:r>
        <w:rPr>
          <w:b/>
        </w:rPr>
        <w:t>E. 8</w:t>
      </w:r>
    </w:p>
    <w:p>
      <w:r>
        <w:t>Die Vorinstanz ist demnach zu Recht auf das Asylgesuch des Beschwerdeführers nicht eingetreten und hat die Wegweisung nach Rumänien angeordnet.</w:t>
      </w:r>
    </w:p>
    <w:p>
      <w:r>
        <w:rPr>
          <w:b/>
        </w:rPr>
        <w:t>E. 9</w:t>
      </w:r>
    </w:p>
    <w:p>
      <w:r>
        <w:t>Die Beschwerde ist abzuweisen, soweit darauf einzutreten ist, und die Verfügung des SEM zu bestätigen.</w:t>
      </w:r>
    </w:p>
    <w:p>
      <w:r>
        <w:rPr>
          <w:b/>
        </w:rPr>
        <w:t>E. 10</w:t>
      </w:r>
    </w:p>
    <w:p>
      <w:r>
        <w:t>Mit dem Entscheid in der Hauptsache sind die Gesuche um Erteilung der aufschiebenden Wirkung und um Verzicht auf die Erhebung eines Kostenvorschusses gegenstandslos geworden. Der am 16. Oktober 2024 verfügte einstweilige Vollzugsstopp fällt mit dem vorliegenden Urteil dahin.</w:t>
      </w:r>
    </w:p>
    <w:p>
      <w:r>
        <w:rPr>
          <w:b/>
        </w:rPr>
        <w:t>E. 11</w:t>
      </w:r>
    </w:p>
    <w:p>
      <w:r>
        <w:t>Die Gesuche um Gewährung der unentgeltlichen Prozessführung sowie um Beigabe eines amtlichen Rechtsbeistands sind abzuweisen, da die Begehren gemäss den vorstehenden Erwägungen als aussichtslos zu bezeichnen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