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F-6496/2016 vom 11. Juli 2017</w:t>
      </w:r>
    </w:p>
    <w:p>
      <w:r>
        <w:t>Bundesverwaltungsgericht, 2017-07-11, FR</w:t>
      </w:r>
    </w:p>
    <w:p>
      <w:r>
        <w:rPr>
          <w:b/>
        </w:rPr>
        <w:t xml:space="preserve">Quelle: </w:t>
      </w:r>
      <w:r>
        <w:t>https://mcp.opencaselaw.ch/entscheid/bvger_F-6496_2016</w:t>
      </w:r>
    </w:p>
    <w:p>
      <w:r>
        <w:t>FR: TAF F-6496/2016 du 11 juillet 2017</w:t>
      </w:r>
    </w:p>
    <w:p>
      <w:r>
        <w:t>IT: TAF F-6496/2016 del 11 luglio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Dans un grief d'ordre formel qu'il convient d'examiner en premier lieu (cf. ATF 138 I 232 consid. 5.1), la recourante se plaint d'une violation de l'art. 12 PA.</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ces principes sont concrétisés notamment par les articles 12ss et 29ss PA. L'art. 12 PA prévoit ainsi que l'autorité constate les faits d'office et procède s'il y a lieu à l'administration de preuves par les moyens évoqués dans cette disposition. Selon la maxime inquisitoire, l'autorité définit les faits pertinents et ne tient pour existants que ceux qui sont dûment prouvés ; cette maxime oblige notamment les autorités compétentes à prendre en considération d'office l'ensemble des pièces pertinentes qui ont été versées au dossier. En revanche, elle ne dispense pas les parties de collaborer à l'établissement des faits (cf. arrêt du Tribunal fédéral 2C_157/2016 du 13 octobre 2016 consid. 2.1 et réf. cit.). La garantie constitutionnelle tirée de l'art. 29 al. 2 Cst.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w:t>
      </w:r>
    </w:p>
    <w:p>
      <w:r>
        <w:rPr>
          <w:b/>
        </w:rPr>
        <w:t>E. 3.2</w:t>
      </w:r>
    </w:p>
    <w:p>
      <w:r>
        <w:t>In casu, la recourante reproche au SEM de n'avoir procédé à aucune investigation complémentaire sur sa relation extra-conjugale et les circonstances de la découverte du père biologique de son premier enfant (cf. mémoire de recours, p. 18-20). De même, elle fait grief à l'autorité de première instance de ne pas avoir auditionné ce dernier (cf. mémoire de recours, p. 19). Le Tribunal constate toutefois que l'autorité intimée, par courrier du 20 mai 2015, a informé la recourante qu'une procédure en annulation de la naturalisation facilitée en application de l'art. 41 LN était ouverte à son endroit et la possibilité lui a été donnée de présenter des observations à ce sujet. En outre, le SEM a requis de l'intéressée l'autorisation d'accéder aux pièces des dossiers concernant son divorce et la procédure de désaveu de paternité, ce qui a été accordé par cette dernière. Par courrier du 6 juillet 2015, la recourante a donc fait parvenir à l'autorité inférieure ses déterminations en précisant que c'était la découverte du géniteur de son premier enfant qui avait provoqué la rupture de sa précédente union conjugale, sans toutefois s'attarder sur les circonstances de cette « découverte inattendue », et en indiquant qu'elle s'était mise « en couple » avec le père biologique de sa fille, dont elle était à nouveau enceinte et qu'elle envisageait d'épouser prochainement, sans donner de détails sur cette relation. Par ailleurs, il ressort d'une déclaration écrite et signée le 27 juin 2014 par l'intéressée figurant au dossier de la requête en désaveu de paternité, que cette dernière a allégué avoir eu « des rapports amoureux avec Monsieur U._______ durant l'année qui a précédé la naissance » de sa fille. Par courrier du 11 février 2016, la recourante a encore informé le SEM qu'elle s'était mariée avec le prénommé et avait donné naissance à une deuxième fille, sans requérir toutefois l'audition de son nouvel époux. Il est encore à noter que, lors de l'audition de l'ex-conjoint le 18 août 2016, l'intéressée était présente avec son avocate et n'a fait part d'aucune observation supplémentaire sur les circonstances de son adultère et la découverte du père biologique de l'enfant. Le SEM a fait parvenir une copie du procès-verbal de cette audition à la recourante, qui a fait part de ses déterminations, le 8 septembre 2016, sans donner de détails supplémentaires sur son adultère et la découverte de « l'erreur de paternité ». Au vu de ces divers actes de procédure, le SEM n'a pas requis l'audition d'U._______ ou ordonné des investigations supplémentaires pour établir les faits et éclaircir ainsi les circonstances de l'adultère et des liens entretenus par l'intéressée avec ce dernier, dans la mesure où les pièces du dossier démontraient que cette dernière avait eu une liaison extra-conjugale ayant débouché sur la naissance d'un enfant adultérin avant d'entamer la procédure de naturalisation facilitée, que l'ex-époux n'avait pas été au courant de ces faits lors de cette procédure, que la recourante avait révélé le nom du géniteur après l'obtention de ladite naturalisation, ce qui avait conduit à sa séparation d'avec son ex-mari et, aussitôt, à sa cohabitation avec le père biologique de l'enfant, puis à son mariage avec ce dernier et à la naissance de sa deuxième fille. Aussi, le Tribunal considère que les éléments essentiels sur lesquels le SEM a fondé son appréciation ressortaient clairement du dossier et ne nécessitaient donc aucun complément d'instruction. Il était donc fondé à renoncer aux mesures d'instruction demandées. Par conséquent, le grief tiré d'une violation de l'art. 12 PA doit être écarté.</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4.2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5.4</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5.5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à X._______ le 4 décembre 2012 a été annulée par l'autorité inférieure en date du 16 septembre 2016, soit avant l'échéance du délai péremptoire prévu par la disposition précitée (cf. également, à ce sujet, l'arrêt du Tribunal administratif fédéral C-4259/2015 du 23 février 2016 consid. 4, et réf. cit.), avec l'assentiment de l'autorité cantonale compétente (Fribourg).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7</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Ainsi, il ressort du dossier que la recourante, après être entrée en Suisse en 2005 pour y poursuivre des études en restauration et hôtellerie, a contracté mariage, le 2 mars 2009, à Neuchâtel avec un ressortissant suisse et qu'elle a ainsi été mise, le 6 mars 2009, au bénéfice d'une autorisation de séjour au titre du regroupement familial régulièrement renouvelée (cf. autorisations de séjour délivrées par les autorités neuchâteloises compétentes). Le 15 février 2012, soit trois semaines avant l'échéance du délai légal de trois ans de communauté conjugale requis par l'art. 27 al. 1 let. c LN, l'intéressée a introduit auprès de l'autorité compétente une requête visant à l'obtention de la naturalisation facilitée. Le 9 novembre 2012, elle a cosigné avec son époux la déclaration relative à la stabilité de leur union. En date du 4 décembre 2012, l'ODM lui a conféré la nationalité suisse. Au mois de février 2014, le couple s'est séparé (cf. déterminations du 6 juillet 2005, p. 1 ; p.-v. d'audition du 18 août 2016, p. 2). Au mois de juin 2014, les époux ont déposé une requête commune de divorce auprès du Tribunal régional du Littoral et du Val-de-Travers qui, en date du 21 novembre 2014, a prononcé leur divorce (cf. décision dudit tribunal figurant au dossier). Le Tribunal relève que les époux ont ainsi mis fin à la vie commune treize mois environ après l'entrée en force le 21 janvier 2013 de la décision de naturalisation facilitée, ce qui, au vu de la jurisprudence, est de nature à fonder la présomption d'acquisition frauduleuse de la nationalité suisse (cf. en ce sens, l'arrêt du Tribunal fédéral 1C_172/2012 du 11 mai 2012 consid. 2.3 et arrêt du Tribunal administratif fédéral C-5137/2014 consid. 6.2). Par ailleurs, il ne ressort ni des pièces au dossier, ni des allégations de la recourante que les intéressés, à la suite de leur séparation au mois de février 2014,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arrêts du Tribunal fédéral 1C_439/2010 du 28 février 2011 consid. 6 et 5A.11/2006 du 27 juin 2006 consid. 4.1). Les éléments précités et leur enchaînement chronologique rapide sont de nature à fonder la présomption de fait selon laquelle, au moment de la décision de naturalisation, X._______ et son époux ne formaient déjà plus une telle communauté conjugale. La présomption de fait fondée sur la chronologie rapide des événements est par ailleurs corroborée par la célérité avec laquelle l'intéressée a déposé sa demande de naturalisation facilitée le 15 février 2012, à savoir trois semaines avant l'échéance du délai relatif à la durée de la communauté conjugale (cf. art. 27 al. 1 let. c LN). Un tel empressement suggère en effet que la prénommée avait hâte d'obtenir la nationalité suisse, rendue possible par son mariage avec un citoyen de ce pays (dans le même sens, cf. l'arrêt du Tribunal administratif fédéral C-4883/2015 du 15 décembre 2015 consid. 6.2 in fine et la référence citée).</w:t>
      </w:r>
    </w:p>
    <w:p>
      <w:r>
        <w:rPr>
          <w:b/>
        </w:rPr>
        <w:t>E. 8</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5.5 ci-avant et la jurisprudence citée).</w:t>
      </w:r>
    </w:p>
    <w:p>
      <w:r>
        <w:rPr>
          <w:b/>
        </w:rPr>
        <w:t>E. 8.1</w:t>
      </w:r>
    </w:p>
    <w:p>
      <w:r>
        <w:t>A cet égard, X._______ a soutenu que la séparation de son couple, intervenue au mois de février 2014, était la conséquence de la découverte « inattendue » du père biologique de sa fille née le 29 décembre 2011, U._______, après avoir reçu les résultats d'un test ADN de paternité daté du 1er novembre 2013 (cf. déterminations des 6 juillet 2015 et 11 février 2016 ; mémoire de recours, p. 6). Ne souhaitant pas cacher la vérité à son premier mari, la prénommée lui a alors présenté les résultats dudit test et lui a avoué à la fin de l'année 2013 son adultère (cf. p.-v. d'audition du 18 août 2016, question 3.2, p. 3), ce qui avait rendu leur vie commune « impossible » (cf. déterminations du 8 septembre 2016), puis entraîné leur séparation au mois de février 2014, le jugement de divorce du 21 novembre 2014 et le jugement du 4 décembre 2014 en désaveu de paternité. A propos de son adultère, l'intéressée a encore précisé qu'elle avait eu lors d'une soirée une relation intime avec un collègue de travail, U._______, mais qu'il s'agissait « d'une histoire sans lendemain » et que suite à cette aventure, ils n'avaient, ni l'un, ni l'autre, repris contact ou tenté de se revoir, le prénommé ayant d'ailleurs quitté la Suisse pour aller vivre en Angleterre au mois de juin 2011 (cf. mémoire de recours, p. 4). La recourante a déclaré qu'elle n'avait pas avoué son « impair » à son mari, que cette « aventure » n'avait eu aucune signification pour elle, qu'elle aimait son époux et souhaitait fonder une famille avec lui ; ce n'est qu'en septembre 2013, alors qu'elle était en ville de Neuchâtel avec sa fille, qu'elle avait croisé par hasard U._______, qui avait été frappé de la ressemblance de l'enfant avec sa propre mère, ce qui avait conduit le prénommé à effectuer un test ADN afin de lever tout doute sur son éventuelle paternité, le résultat positif ayant été par la suite communiqué à l'époux de la recourante. Cette dernière a encore allégué qu'U._______, souhaitant se rapprocher de sa fille, avait renoncé à un projet de voyage à l'étranger et s'était installé chez elle, ce qui les avait amenés « au fil du temps » à débuter une « relation affective », qui avait finalement abouti à la naissance de leur deuxième enfant le 19 juillet 2015 et à leur mariage le 30 janvier 2016 (cf. mémoire de recours, p. 5-7).</w:t>
      </w:r>
    </w:p>
    <w:p>
      <w:r>
        <w:rPr>
          <w:b/>
        </w:rPr>
        <w:t>E. 8.2</w:t>
      </w:r>
    </w:p>
    <w:p>
      <w:r>
        <w:t>Le Tribunal constate que la relation extraconjugale dont il est question a eu lieu au début de l'année 2011, soit alors que la recourante, mariée depuis plus de deux ans, n'avait pas encore introduit une demande de naturalisation facilitée et bien avant la signature de la déclaration commune et l'octroi de la naturalisation. Or, un tel comportement est incompatible avec la notion de communauté conjugale en matière de naturalisation facilitée, qui suppose l'existence, au moment de la décision de naturalisation facilitée, d'une volonté matrimoniale intacte et orientée vers l'avenir (dans ce sens, arrêt du Tribunal administratif fédéral C-764/2012 consid. 8.1). Comme l'a relevé le Tribunal fédéral, l'existence d'un enfant né d'une relation extraconjugale peut constituer un indice de l'instabilité de la relation conjugale (arrêt du Tribunal fédéral 1C_27/2011 consid. 6.4.1). In casu, cet indice est renforcé par l'ensemble des circonstances. Les ex-époux se sont séparés en février 2014, juste après la révélation de l'existence de l'enfant adultérin, et n'ont jamais repris la vie commune, alors que leur union était prétendument stable et solide moins de quinze mois auparavant. Ils ont ensuite introduit, en juin 2014, une requête commune en divorce avec une convention sur les effets accessoires. De plus, le père biologique de l'enfant adultérin a cohabité avec l'intéressée « peu de temps après sa séparation » (cf. mémoire de recours, p. 14) et de leur relation est née une autre fille commune, soit huit mois après l'entrée en force du jugement de divorce (8 décembre 2014). Finalement, la recourante a contracté mariage avec le père de ses enfants le 30 janvier 2016. Certes, la recourante affirme qu'elle ne savait pas que sa première fille était le fruit de son adultère en 2011 et qu'elle ne l'a découvert qu'après avoir pris connaissance du résultat du test de paternité au mois de novembre 2013, soit bien après l'obtention de la naturalisation facilitée. Toutefois, au moment de la conception de cet enfant, l'intéressée entendait fonder une famille avec son époux avec lequel elle entretenait régulièrement des relations intimes (cf. mémoire de recours, p. 23) ; or, le Tribunal doute que la recourante, qui avait pris le risque d'avoir un rapport sexuel non protégé avec un tiers, n'ait eu aucun doute quant à la paternité de l'enfant au moment de l'annonce de sa grossesse. En outre, même si l'intéressée qualifie son adultère d'« histoire sans lendemain », voire d'« impair » (cf. mémoire de recours, p. 4 et 22), mais non pas de « relation continue dans laquelle chacun aurait développé des sentiments amoureux » (cf. mémoire de recours, p. 12), il n'en demeure pas moins que l'existence d'une relation extraconjugale avant la procédure de naturalisation, ayant de surcroît conduit à la naissance d'un enfant, constitue bien un indice d'instabilité de la relation conjugale, comme relevé ci-avant. A cela s'ajoute que dans le cadre de la procédure en désaveu de paternité, la recourante a signé le 27 juin 2014 une déclaration écrite dans laquelle elle affirme avoir eu « des rapports amoureux avec Monsieur U._______ durant l'année qui a précédé la naissance » de sa fille. Enfin, si tant est que la relation qu'a eue l'intéressée avec U._______ au cours de l'année 2011 n'avait « aucune signification » pour elle (cf. mémoire de recours, p. 17), cette dernière a pourtant renoncé à en parler à son époux de crainte de « mettre en péril » son couple (cf. ibid.), ce qui démontre bien la fragilité de son union conjugale. A ce propos, il est peu vraisemblable que la recourante et son précédent mari, s'ils formaient réellement un couple uni et stable, n'aient pas tenté de sauver d'une manière ou autre leur union avant d'envisager une solution aussi radicale que le divorce.</w:t>
      </w:r>
    </w:p>
    <w:p>
      <w:r>
        <w:rPr>
          <w:b/>
        </w:rPr>
        <w:t>E. 8.3</w:t>
      </w:r>
    </w:p>
    <w:p>
      <w:r>
        <w:t>Compte tenu de l'ensemble des circonstances, le Tribunal est d'avis que le fait invoqué par la recourante ne constitue pas un évènement extraordinaire, susceptible d'expliquer une dégradation aussi rapide du lien conjugal, et qu'il y a lieu de s'en tenir à la présomption de fait fondée sur l'enchaînement chronologique rapide des évènements, selon laquelle l'union formée par l'intéressée et Y._______ ne présentait plus l'intensité et la stabilité requises lors de la signature de la déclaration de vie commune et au moment de la naturalisation facilitée.</w:t>
      </w:r>
    </w:p>
    <w:p>
      <w:r>
        <w:rPr>
          <w:b/>
        </w:rPr>
        <w:t>E. 8.4</w:t>
      </w:r>
    </w:p>
    <w:p>
      <w:r>
        <w:t>Au demeurant, le fait que la recourante n'ait pas fait mention de sa relation extraconjugale, dans le cadre de la procédure de naturalisation facilitée, contrairement à son devoir de collaborer, constitue une dissimulation de fait essentiel.</w:t>
      </w:r>
    </w:p>
    <w:p>
      <w:r>
        <w:rPr>
          <w:b/>
        </w:rPr>
        <w:t>E. 9</w:t>
      </w:r>
    </w:p>
    <w:p>
      <w:r>
        <w:t>Dans le cadre de la procédure de recours, X._______ a requis l'audition de son époux actuel et de celles de tiers à titre de témoin (cf. mémoire de recours, p. 25). En l'occurrence, le Tribunal estime que les faits de la cause sont suffisamment établis par les pièces figurant au dossier, de sorte qu'il ne s'avère pas indispensable de donner suite à ladite requête. Quoi qu'en pense la recourante, le Tribunal ne voit pas en effet ce que des explications orales supplémentaires de la part de ces personnes apporteraient dans la présente affaire, au vu des développements antérieurs. Il est aussi à noter que tant l'époux que les tiers cités par la recourante ont pu s'exprimer par l'entremise de déclarations écrites envoyées au Tribunal de céans (cf. annexes au mémoire de recours et aux observations du 3 février 2017). Au demeurant,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10</w:t>
      </w:r>
    </w:p>
    <w:p>
      <w:r>
        <w:t>En conséquence, le Tribunal est amené à conclure que la décision querellée est conforme au droit (cf. art. 49 PA).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