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F-6479/2020 vom 8. September 2022</w:t>
      </w:r>
    </w:p>
    <w:p>
      <w:r>
        <w:t>Bundesverwaltungsgericht, 2022-09-08, DE</w:t>
      </w:r>
    </w:p>
    <w:p>
      <w:r>
        <w:rPr>
          <w:b/>
        </w:rPr>
        <w:t xml:space="preserve">Quelle: </w:t>
      </w:r>
      <w:r>
        <w:t>https://mcp.opencaselaw.ch/entscheid/bvger_F-6479_2020</w:t>
      </w:r>
    </w:p>
    <w:p>
      <w:r>
        <w:t>FR: TAF F-6479/2020 du 8 septembre 2022</w:t>
      </w:r>
    </w:p>
    <w:p>
      <w:r>
        <w:t>IT: TAF F-6479/2020 del 8 settembre 2022</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im Übrigen frist- und formgerecht eingereichte Beschwerde ist einzutreten (Art. 50 und Art.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3.2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VZAE).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normalerweise keinen hinreichenden Grund dar, um von einer Fernhaltemassnahme abzusehen. Jeder ausländischen Person obliegt es, sich über bestehende Rechte und Pflichten im Zusammenhang mit den ausländerrechtlichen Vorschriften ins Bild zu setzen und sich im Falle von Unklarheiten bei der zuständigen Behörde zu informieren (vgl. statt vieler Urteil des BVGer F-6632/2019 vom 8. Oktober 2020 E. 4.3).</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4.1</w:t>
      </w:r>
    </w:p>
    <w:p>
      <w:r>
        <w:t>Die Vorinstanz hat das gegen die Beschwerdeführerin verhängte Einreiseverbot damit begründet, sie habe versucht, die Behörden in arglistiger Weise zu täuschen, um sich damit einen Aufenthalt in der Schweiz zu erschleichen, indem sie sich mehrmals als bulgarische Staatsangehörige ausgegeben habe. Entsprechend sei sie bei der zuständigen Staatsanwaltschaft wegen mehrfacher versuchter Täuschung der Behörden, versuchter rechtswidriger Einreise sowie Beihilfe zur rechtswidrigen Einreise und rechtswidrigen Aufenthalts ihres Sohnes in der Schweiz verzeigt worden. Damit liege ein Verstoss gegen die öffentliche Sicherheit und Ordnung vor (Art. 67 Abs. 2 Bst. a AIG).</w:t>
      </w:r>
    </w:p>
    <w:p>
      <w:r>
        <w:rPr>
          <w:b/>
        </w:rPr>
        <w:t>E. 4.2</w:t>
      </w:r>
    </w:p>
    <w:p>
      <w:r>
        <w:t>Demgegenüber bestreitet die Beschwerdeführerin, welche in Bulgarien über eine Aufenthaltsbewilligung verfügt, jegliche Täuschungshandlung gegenüber den schweizerischen Behörden. Sie sei Staatsangehörige von Nordmazedonien, jedoch auch bulgarischer Abstammung, weshalb sie zu einem früheren Zeitpunkt ein Gesuch um Erwerb der Bürgerrechte in Bulgarien eingereicht habe. Dieses sei pendent und dessen Bearbeitung habe sich aufgrund der COVID-Situation und damit zusammenhängenden Massnahmen in Bulgarien verzögert. Gemäss Bestätigung ihrer (bulgarischen) Rechtsvertreterin befinde sie sich "im Verfahren des Erwerbs der Bulgarischen Staatsbürgerschaft", weshalb es keine unlautere Behauptung gewesen sei, sich als Bulgarin zu bezeichnen. Im Glauben, ihr Gesuch um Aufenthaltsbewilligung (in der Schweiz) werde gutgeheissen, habe sie ihren Sohn in der obligatorischen Schule der Gemeinde X._______ angemeldet.</w:t>
      </w:r>
    </w:p>
    <w:p>
      <w:r>
        <w:rPr>
          <w:b/>
        </w:rPr>
        <w:t>E. 4.3</w:t>
      </w:r>
    </w:p>
    <w:p>
      <w:r>
        <w:t>Die Argumentation der Beschwerdeführerin vermag nicht zu überzeugen und muss als blosse Schutzbehauptung zurückgewiesen werden. Sie wurde denn auch mit Strafbefehl der Staatsanwaltschaft Y._______ vom 29. Dezember 2020 wegen illegaler Einreise (Art. 115 Abs. 1 Bst. a AIG), widerrechtlichen Aufenthalts (Art. 115 Abs. 1 Bst. b AIG), Beihilfe zur rechtswidrigen Einreise sowie rechtswidrigen Aufenthalts in Bezug auf ihren Sohn (Art. 116 Abs. 1 Bst a und Bst. abis AIG) sowie Täuschung der Behörden (Art. 118 AIG) schuldig gesprochen und zu einer (bedingten) Geldstrafe von 80 Tagessätzen zu je Fr. 30.- sowie einer Busse von Fr. 500.- verurteilt. Zur Begründung führte die Strafbehörde aus, die Beschwerdeführerin habe bereits bei ihrer Einreise vom 11. August 2019 die Absicht gehabt, sich längerfristig in der Schweiz aufzuhalten, sich hier niederzulassen und auch in der Schweiz zu arbeiten, womit die Einreisevor-aussetzungen von Anfang an nicht erfüllt gewesen seien. In diesem Zusammenhang habe sie mehrfach versucht, die Behörden über ihre Nationalität zu täuschen, um sich eine Aufenthaltsbewilligung zu erschleichen. Weitere Abklärungen hätten zudem ergeben, dass ihr Sohn seit dem 23. September 2019 die Volksschule und ab dem 27. Oktober 2020 die Sekundarschule in X._______ besucht habe, obschon er über keine Aufenthaltsbewilligung verfügt habe. Die Beschwerdeführerin habe somit ihren Sohn, nachdem ihnen die Einreise am 4. September 2020 verweigert worden sei, unrechtmässig in die Schweiz gebracht oder verbringen lassen (LU-act. 60/S. 138-139). Für das Bundesverwaltungsgericht besteht kein Anlass, in rechtlicher oder in tatsächlicher Hinsicht von diesem Straferkenntnis abzuweichen, zumal dieser Strafbefehl nicht angefochten wurde und in Rechtskraft erwachsen ist (vgl. Urteil des BVGer F-1156/2018 vom 13. Dezember 2019 E. 4.3 m.H.). Nach dem Gesagten hat die Beschwerdeführerin in mehrfacher Hinsicht ausländerrechtliche Bestimmungen verletzt und damit gegen die öffentliche Sicherheit und Ordnung verstossen. Nachdem sie offenbar immer noch in einem Einbürgerungsverfahren in Bulgarien steht, kann sie zudem auch nichts zu ihren Gunsten aus dem Freizügigkeitsabkommen (FZA, SR 0.142.112.681) ableiten, ist doch dieses - wie das SEM zu Recht festgehalten hat - ohnehin nur auf EU- und EFTA-Bürger anwendbar. Die Vor-aussetzungen für ein Einreiseverbot gemäss Art. 67 Abs. 2 Bst. a AIG sind somit fraglos erfüllt.</w:t>
      </w:r>
    </w:p>
    <w:p>
      <w:r>
        <w:rPr>
          <w:b/>
        </w:rPr>
        <w:t>E. 5.1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der Verfügungsbelasteten bilden dabei den Ausgangspunkt der Überlegungen (vgl. statt vieler Häfelin et al., Allgemeines Verwaltungsrecht, 8. Aufl. 2020, N. 555 f.).</w:t>
      </w:r>
    </w:p>
    <w:p>
      <w:r>
        <w:rPr>
          <w:b/>
        </w:rPr>
        <w:t>E. 5.2</w:t>
      </w:r>
    </w:p>
    <w:p>
      <w:r>
        <w:t>Vor dem Hintergrund der gegenüber den Ausländerbehörden begangenen Täuschung sowie der weiteren Verstösse gegen ausländerrechtliche Vorschriften und der damit einhergehenden ungünstigen Prognose liegt die Fernhaltung der Beschwerdeführerin im öffentlichen Interesse. Dabei geht es nicht nur um den spezialpräventiven Charakter des Einreiseverbots, welches das missliche Verhalten auch über die angeordnete Dauer hinaus unterbinden soll, sondern auch um generalpräventive Aspekte, die zum Schutz der ausländerrechtlichen Ordnung eine konsequente Massnahmepraxis erfordern (zu den Kriterien der Interessenabwägung im ausländerrechtlichen Verfahren vgl. Urteil des BGer 2C_432/2016 vom 26. Januar 2018 E. 4.3.2 m.H.).</w:t>
      </w:r>
    </w:p>
    <w:p>
      <w:r>
        <w:rPr>
          <w:b/>
        </w:rPr>
        <w:t>E. 5.3</w:t>
      </w:r>
    </w:p>
    <w:p>
      <w:r>
        <w:t>Dem öffentlichen Interesse an ihrer Fernhaltung sind die privaten Interessen der Beschwerdeführerin gegenüberzustellen, zu denen sie sich in ihrer Rechtsmitteleingabe allerdings nicht weiter äussert. Soweit die Fernhaltemassnahme den regelmässigen Kontakt zu den in der Schweiz lebenden Familienangehörigen verhindert, gilt es in diesem Zusammen-hang festzuhalten, dass eine solche, sich aus der Natur des Einreise-verbots ergebende Einschränkung hinzunehmen ist. Die Verhältnismäs-sigkeit der Massnahme an sich wird dadurch nicht in Frage gestellt, wäre doch ansonsten das Instrument des Einreiseverbots gegenüber allen Personen mit Bezugspersonen in der Schweiz per se unzulässig (vgl. auch Urteil des BGer 2C_270/2015 vom 6. August 2015 E. 8.2; Urteil des BVGer F-1126/2017 vom 30. Januar 2019 E. 5.4).</w:t>
      </w:r>
    </w:p>
    <w:p>
      <w:r>
        <w:rPr>
          <w:b/>
        </w:rPr>
        <w:t>E. 5.4</w:t>
      </w:r>
    </w:p>
    <w:p>
      <w:r>
        <w:t>In einer wertenden Gewichtung der sich entgegenstehenden Interessen kann nicht geschlossen werden, das private Interesse der Beschwerdeführerin an unkontrollierten Einreisen in die Schweiz überwiege das öffentliche Interesse an ihrer Fernhaltung. Das auf drei Jahre befristete Einreiseverbot stellt auch in der Dauer unter Berücksichtigung der gängigen Praxis in vergleichbaren Fällen eine angemessene und verhältnismässige Massnahme zum Schutz der öffentlichen Sicherheit und Ordnung dar (vgl. etwa Urteile des BVGer F-1827/2018 vom 30. September 2019 E. 7.3; F-1126/2017 vom 30. Januar 2019 E. 5.5; F-2682/2016 vom 20. Dezember 2016 E. 7.5), womit dem Eventualantrag, die Dauer der Fernhaltemassnahme auf ein Jahr zu reduzieren, nicht stattzugeben ist.</w:t>
      </w:r>
    </w:p>
    <w:p>
      <w:r>
        <w:rPr>
          <w:b/>
        </w:rPr>
        <w:t>E. 6</w:t>
      </w:r>
    </w:p>
    <w:p>
      <w:r>
        <w:t>Nicht zu beanstanden ist ferner, dass der Beschwerdeführerin als Drittstaatsangehörige die Einreise in das Hoheitsgebiet sämtlicher Schengen-Staaten verboten wurde (vgl. Art. 21 i.V.m. Art. 24 Ziff. 3 SIS-II-Verordnung), handelt es sich doch vorliegend um Verstösse gegen nationale Rechtsvorschriften über Einreise und Aufenthalt. Ein Verzicht darauf käme nur in Betracht, wenn die Beschwerdeführerin im Besitze eines gültigen Aufenthaltstitels eines anderen Schengen-Staates wäre, was hier nicht zutrifft, gehört doch Bulgarien zwar der EU, nicht aber dem Schengen-Raum an. Die Vorinstanz hat jedoch die Löschung der SIS-Ausschreibung in Aussicht gestellt, sollte die Beschwerdeführerin nachweislich die bulgarische Staatsangehörigkeit erlangen.</w:t>
      </w:r>
    </w:p>
    <w:p>
      <w:r>
        <w:rPr>
          <w:b/>
        </w:rPr>
        <w:t>E. 7</w:t>
      </w:r>
    </w:p>
    <w:p>
      <w:r>
        <w:t>Aus diesen Erwägungen folgt, dass weder das auf drei Jahre befristete Einreiseverbot noch dessen Ausschreibung im SIS II Bundesrecht verletzt (Art. 49 VwVG). Die Beschwerde ist daher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Die Verfahrenskosten von Fr. 1'200.- sind durch den von ihr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