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F-6459/2020 vom 28. Dezember 2020</w:t>
      </w:r>
    </w:p>
    <w:p>
      <w:r>
        <w:t>Bundesverwaltungsgericht, 2020-12-28, FR</w:t>
      </w:r>
    </w:p>
    <w:p>
      <w:r>
        <w:rPr>
          <w:b/>
        </w:rPr>
        <w:t xml:space="preserve">Quelle: </w:t>
      </w:r>
      <w:r>
        <w:t>https://mcp.opencaselaw.ch/entscheid/bvger_F-6459_2020</w:t>
      </w:r>
    </w:p>
    <w:p>
      <w:r>
        <w:t>FR: TAF F-6459/2020 du 28 décembre 2020</w:t>
      </w:r>
    </w:p>
    <w:p>
      <w:r>
        <w:t>IT: TAF F-6459/2020 del 28 dicembre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 non réalisée en l'espèce (art. 105 en relation avec l'art. 6a al. 1 LAsi; art. 33 let. d LTAF et art. 83 let. d ch. 1 LTF).</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 et 2 LAsi).</w:t>
      </w:r>
    </w:p>
    <w:p>
      <w:r>
        <w:rPr>
          <w:b/>
        </w:rPr>
        <w:t>E. 3.1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w:t>
      </w:r>
    </w:p>
    <w:p>
      <w:r>
        <w:rPr>
          <w:b/>
        </w:rPr>
        <w:t>E. 3.3</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w:t>
      </w:r>
    </w:p>
    <w:p>
      <w:r>
        <w:rPr>
          <w:b/>
        </w:rPr>
        <w:t>E. 3.4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 cf. ATAF 2015/9 consid. 8.2.2; 2012/4 consid. 2.4. in fine, et réf. cit.).</w:t>
      </w:r>
    </w:p>
    <w:p>
      <w:r>
        <w:rPr>
          <w:b/>
        </w:rPr>
        <w:t>E. 4.1</w:t>
      </w:r>
    </w:p>
    <w:p>
      <w:r>
        <w:t>En l'occurrence, les investigations entreprises par le SEM ont révélé, après consultation de l'unité centrale du système européen « Eurodac », que le recourant a déposé, le 1er avril 2019, une demande d'asile en Espagne. En date du 9 octobre 2020, cet office a dès lors soumis aux autorités espagnoles compétentes, dans les délais fixés aux art. 23 par. 2 et art. 24 par. 2 du règlement Dublin III, une requête aux fins de reprise en charge, fondée sur l'art. 18 al. 1 let. d du règlement Dublin III. Les autorités espagnoles ayant expressément accepté de reprendre en charge l'intéressé, le 15 octobre 2020, elles ont reconnu leur compétence pour traiter sa demande d'asile.</w:t>
      </w:r>
    </w:p>
    <w:p>
      <w:r>
        <w:rPr>
          <w:b/>
        </w:rPr>
        <w:t>E. 4.2</w:t>
      </w:r>
    </w:p>
    <w:p>
      <w:r>
        <w:t>En premier lieu, le Tribunal relève qu'il n'y a aucune raison de penser qu'il existerait en Espagne des défaillances systémiques au sens de l'art. 3 par. 2 du règlement Dublin III. Le recourant ne le fait d'ailleurs pas valoir.</w:t>
      </w:r>
    </w:p>
    <w:p>
      <w:r>
        <w:rPr>
          <w:b/>
        </w:rPr>
        <w:t>E. 4.3</w:t>
      </w:r>
    </w:p>
    <w:p>
      <w:r>
        <w:t>Dans son recours, l'intéressé a contesté la compétence de l'Espagne, alléguant avoir été forcé à déposer sa demande d'asile en Espagne, sans toutefois étayer ses propos par un quelconque moyen ou commencement de preuve. A cet égard il convient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Au contraire, ce règlement, qui vise à lutter contre les demandes d'asile multiples en retenant le principe de l'examen de la demande par un seul Etat membre ("one chance only"), a précisément pour but de déterminer, sur la base d'un certain nombre de critères, l'Etat membre qui est compétent pour mener la procédure d'asile introduite par le requérant (cf. consid. 3.2 supra; cf. ATAF 2017 VI/7 consid. 6.11, 2017 VI/5 consid. 8.2.1). Or, dans le cadre de la présente procédure de reprise en charge (take back), le critère applicable pour déterminer la compétence de l'Etat membre responsable est précisément celui du dépôt de la première demande de protection internationale. Au demeurant, si - après son retour en Espagne - le requérant devait être contraint par les circonstances à mener une existence non conforme à la dignité humaine, ou si ce pays viole ses obligations d'assistance à son encontre, ainsi que la directive précitée, ou de toute autre manière porte atteinte à ses droits fondamentaux, il lui appartiendrait de faire valoir ses droits directement auprès des autorités espagnoles, en usant des voies de droit adéquates (cf. art. 26 directive Accueil).</w:t>
      </w:r>
    </w:p>
    <w:p>
      <w:r>
        <w:rPr>
          <w:b/>
        </w:rPr>
        <w:t>E. 4.4</w:t>
      </w:r>
    </w:p>
    <w:p>
      <w:r>
        <w:t>S'agissant encore de la crise sanitaire liée à la Covid-19, celle-ci n'est pas de nature à remettre en cause la possibilité de transférer le recourant vers l'Espagne, dès lors que cette situation est temporaire et que, si elle devait retarder momentanément l'exécution du transfert, celle-ci devra avoir lieu ultérieurement, en temps approprié (cf. arrêt du TAF F-1854/2020 du 15 avril 2020 consid. 7 et la jurisprudence citée). Par ailleurs, une suspension temporaire de l'exécution d'un transfert en application du règlement Dublin III (JO L 180/31 du 29.6.2013) pour des motifs extrinsèques à la procédure n'est pas, en elle-même, de nature à remettre en cause les décisions rendues en application des critères de détermination de l'Etat membre responsable de l'examen d'une demande de protection internationale au sens du règlement Dublin III (arrêt du TAF F-2052/2020 du 5 mai 2020 pp 5 s.).</w:t>
      </w:r>
    </w:p>
    <w:p>
      <w:r>
        <w:rPr>
          <w:b/>
        </w:rPr>
        <w:t>E. 5</w:t>
      </w:r>
    </w:p>
    <w:p>
      <w:r>
        <w:t>Le recourant a également fait valoir qu'il ne pouvait pas être transféré en Espagne au vu des problèmes médicaux dont il souffre.</w:t>
      </w:r>
    </w:p>
    <w:p>
      <w:r>
        <w:rPr>
          <w:b/>
        </w:rPr>
        <w:t>E. 5.1</w:t>
      </w:r>
    </w:p>
    <w:p>
      <w:r>
        <w:t>Selon la jurisprudence de la CourEDH (cf. arrêt de la Cour EDH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 EDH Paposhvili c. Belgique du 13 décembre 2016, requête n° 41738/10, par. 183).</w:t>
      </w:r>
    </w:p>
    <w:p>
      <w:r>
        <w:rPr>
          <w:b/>
        </w:rPr>
        <w:t>E. 5.2</w:t>
      </w:r>
    </w:p>
    <w:p>
      <w:r>
        <w:t>En l'espèce, l'intéressé n'a pas établi, dans le cadre de la présente procédure, qu'il ne serait pas en mesure de voyager ou que son transfert représenterait un danger concret pour sa santé. Il ressort en effet du certificat F2 daté du 12 octobre 2020 que celui-ci souffre de douleurs abdominales chroniques épisodiques depuis 10 ans, lesquelles se sont avérées sans gravité et soulagées par la prise d'un traitement médicamenteux. L'intéressé a également souffert d'un épisode hématurie il y a trois ans, ainsi que de quelques épisodes de brûlures urinaires (dossier SEM, pce 24).</w:t>
      </w:r>
    </w:p>
    <w:p>
      <w:r>
        <w:rPr>
          <w:b/>
        </w:rPr>
        <w:t>E. 5.3</w:t>
      </w:r>
    </w:p>
    <w:p>
      <w:r>
        <w:t>Compte tenu de ce qui précède, force est de constater que les troubles médicaux du recourant n'apparaissent pas d'une gravité telle que son transfert en Espagne serait illicite au sens restrictif de cette jurisprudence, d'autant plus que ce dernier a certes déclaré « être fatigué » et « ne pas aller bien », mais ne les a pas explicitement fait valoir dans son recours du 22 décembre 2020.</w:t>
      </w:r>
    </w:p>
    <w:p>
      <w:r>
        <w:rPr>
          <w:b/>
        </w:rPr>
        <w:t>E. 6</w:t>
      </w:r>
    </w:p>
    <w:p>
      <w:r>
        <w:t>Finalement, l'application de la clause de souveraineté ne se justifie pas en l'espèce. En effet, il ressort de ce qui précède que le transfert de l'intéressé n'est pas contraire aux obligations internationales de la Suisse et que le SEM a procédé à un examen correct des raisons humanitaires de l'art.29a al. 3 OA 1. Dans ces conditions, le Tribunal de céans ne peut plus, sur ce point, substituer son appréciation à celle du SEM.</w:t>
      </w:r>
    </w:p>
    <w:p>
      <w:r>
        <w:rPr>
          <w:b/>
        </w:rPr>
        <w:t>E. 7</w:t>
      </w:r>
    </w:p>
    <w:p>
      <w:r>
        <w:t>L'Espagne demeure dès lors l'Etat responsable de l'examen de la demande d'asile du recourant au sens du règlement Dublin III et est tenue - en vertu de l'art. 18 al. 1 let. d dudit règlement - de le reprendre en charge, dans les conditions prévues aux art. 23, 24, 25 et 29. Dans ces conditions, c'est à bon droit que le SEM n'est pas entré en matière sur la demande d'asile,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8</w:t>
      </w:r>
    </w:p>
    <w:p>
      <w:r>
        <w:t>Au vu de ce qui précède, le recours doit être rejeté. Dans la mesure où il a été statué sur le fond, la requête formulée dans le recours tendant à l'octroi de l'effet suspensif est devenue sans objet.</w:t>
      </w:r>
    </w:p>
    <w:p>
      <w:r>
        <w:rPr>
          <w:b/>
        </w:rPr>
        <w:t>E. 9.1</w:t>
      </w:r>
    </w:p>
    <w:p>
      <w:r>
        <w:t>Les conclusions du recours étant d'emblée vouées à l'échec, la requête d'assistance judiciaire totale contenue dans le mémoire de recours est rejetée.</w:t>
      </w:r>
    </w:p>
    <w:p>
      <w:r>
        <w:rPr>
          <w:b/>
        </w:rPr>
        <w:t>E. 9.2</w:t>
      </w:r>
    </w:p>
    <w:p>
      <w:r>
        <w:t>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