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F-6443/2020 vom 10. Juni 2022</w:t>
      </w:r>
    </w:p>
    <w:p>
      <w:r>
        <w:t>Bundesverwaltungsgericht, 2022-06-10, DE</w:t>
      </w:r>
    </w:p>
    <w:p>
      <w:r>
        <w:rPr>
          <w:b/>
        </w:rPr>
        <w:t xml:space="preserve">Quelle: </w:t>
      </w:r>
      <w:r>
        <w:t>https://mcp.opencaselaw.ch/entscheid/bvger_F-6443_2020</w:t>
      </w:r>
    </w:p>
    <w:p>
      <w:r>
        <w:t>FR: TAF F-6443/2020 du 10 juin 2022</w:t>
      </w:r>
    </w:p>
    <w:p>
      <w:r>
        <w:t>IT: TAF F-6443/2020 del 10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durch die Art. 1 DBA CH-FR (persönlicher Geltungsbereich) und Art. 2 DBA CH-FR (sachlicher Geltungsbereich) nicht eingeschränkt.</w:t>
      </w:r>
    </w:p>
    <w:p>
      <w:r>
        <w:rPr>
          <w:b/>
        </w:rPr>
        <w:t>E. 5.2</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6.1</w:t>
      </w:r>
    </w:p>
    <w:p>
      <w:r>
        <w:t>Die Beschwerdeführerin macht geltend, sie habe per 1. Januar 2012 ihren Wohnsitz von Frankreich nach Brasilien verlegt und unterliege seither dort nachweislich der unbeschränkten Steuerpflicht. Ihr Steuerwohnsitz habe daher in den Jahren 2012 bis 2015 nicht in Frankreich, sondern in Brasilien gelegen, weshalb das DBA CH-FR für diese Jahre auf sie nicht anwendbar sei. Aus demselben Grund seien die für den Zeitraum 2012 bis 2015 erfragten Informationen für die französische Steuerbehörde nicht «voraussichtlich erheblich». Sie dürften auch aus diesem Grund nicht an die französische Steuerbehörde herausgegeben werden. Schliesslich bringt die Beschwerdeführerin vor, der auf Frankreich verweisende Domizil-Code gehöre nicht zu den Kriterien, auf das sich nach bundesrechtlicher Rechtsprechung die Prüfung der Steuerpflicht im ersuchenden Staat durch die Schweiz zu beschränken habe.</w:t>
      </w:r>
    </w:p>
    <w:p>
      <w:r>
        <w:rPr>
          <w:b/>
        </w:rPr>
        <w:t>E. 6.2</w:t>
      </w:r>
    </w:p>
    <w:p>
      <w:r>
        <w:t>Die Kontonummer der Beschwerdeführerin befand sich auf einer sichergestellten UBS-Liste und stand in Verbindung mit dem Domizil-Code für Frankreich. Unter Hinweis auf das Grundsatzurteil des Bundesgerichts BGE 146 II 150 hat das Bundesverwaltungsgericht den Domizil-Code als hinreichenden Anknüpfungspunkt für eine mögliche Steuerpflicht in Frankreich für die Jahre 2010 bis 2015 qualifiziert (Urteil des BVGer A-1562/2018 vom 3. August 2020 E. 4.2). Damit ist der notwendige Bezug zu Frankreich gegeben. Wo letztendlich der Steuerwohnsitz der Beschwerdeführerin liegt ist rechtsprechungsgemäss nicht im Rahmen des Amtshilfeverfahrens zu klären, und es ist in diesem Verfahren auch nicht Aufgabe der Schweizer Behörden zu prüfen, ob nach französischem Recht ein Steuerwohnsitz in Frankreich besteht. Die Beschwerdeführerin ist mit ihren Einwänden daher auf das französische Steuerverfahren zu verweisen (BGE 145 II 112 E. 2.2.2 und E. 3.2; 142 II 161 E. 2.2.2; Urteil des BGer 2C_805/2018 vom 23. August 2019 E. 4.5; Urteile des BVGer A-6532/2020 E. 5.2 vom 21. Dezember 2021; A-5662/2020 vom 10. Mai 2021 E. 5.1; A-1562/2018 vom 3. August 2020 E. 4.2).</w:t>
      </w:r>
    </w:p>
    <w:p>
      <w:r>
        <w:rPr>
          <w:b/>
        </w:rPr>
        <w:t>E. 6.3</w:t>
      </w:r>
    </w:p>
    <w:p>
      <w:r>
        <w:t>Zusammenfassend ist von der voraussichtlichen Erheblichkeit der vorliegend zur Übermittlung vorgesehenen Informationen betreffend die Beschwerdeführerin auszugehen.</w:t>
      </w:r>
    </w:p>
    <w:p>
      <w:r>
        <w:rPr>
          <w:b/>
        </w:rPr>
        <w:t>E. 7</w:t>
      </w:r>
    </w:p>
    <w:p>
      <w:r>
        <w:t>Nach dem Gesagten sind die Voraussetzungen für die in der Schlussverfügung vom 17. November 2020 vorgesehene Amtshilfeleistung erfüllt. Die Beschwerde ist abzuweisen.</w:t>
      </w:r>
    </w:p>
    <w:p>
      <w:r>
        <w:rPr>
          <w:b/>
        </w:rPr>
        <w:t>E. 8.1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8.2</w:t>
      </w:r>
    </w:p>
    <w:p>
      <w:r>
        <w:t>Der unterliegenden Beschwerdeführerin ist keine Parteientschädigung zuzusprechen (Art. 64 Abs. 1 VwVG e contrario und Art. 7 Abs. 1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