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F-643/2022 vom 17. März 2022</w:t>
      </w:r>
    </w:p>
    <w:p>
      <w:r>
        <w:t>Bundesverwaltungsgericht, 2022-03-17, DE</w:t>
      </w:r>
    </w:p>
    <w:p>
      <w:r>
        <w:rPr>
          <w:b/>
        </w:rPr>
        <w:t xml:space="preserve">Quelle: </w:t>
      </w:r>
      <w:r>
        <w:t>https://mcp.opencaselaw.ch/entscheid/bvger_F-643_2022</w:t>
      </w:r>
    </w:p>
    <w:p>
      <w:r>
        <w:t>FR: TAF F-643/2022 du 17 mars 2022</w:t>
      </w:r>
    </w:p>
    <w:p>
      <w:r>
        <w:t>IT: TAF F-643/2022 del 17 marzo 2022</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(vgl. Art. 37 VGG).</w:t>
      </w:r>
    </w:p>
    <w:p>
      <w:r>
        <w:rPr>
          <w:b/>
        </w:rPr>
        <w:t>E. 1.2</w:t>
      </w:r>
    </w:p>
    <w:p>
      <w:r>
        <w:t>Der Beschwerdeführer hat am vorangegangenen Einspracheverfahren teilgenommen und ist als Gastgeber der Gesuchstellenden durch die angefochtene Verfügung besonders berührt. Obwohl der fest anberaumte Besuchszeitraum inzwischen verstrichen ist, muss auf ein fortbestehendes Rechtsschutzinteresse geschlossen werden. Dies belegt allein schon die Einreichung des Rechtsmittels. Der Beschwerdeführer ist daher zur Beschwerdeführung legitimiert (Art. 48 Abs. 1 VwVG). Auf die im Übrigen frist- und formgerecht eingereichte Beschwerde ist daher einzutreten (Art. 50 und 52 VwVG).</w:t>
      </w:r>
    </w:p>
    <w:p>
      <w:r>
        <w:rPr>
          <w:b/>
        </w:rPr>
        <w:t>E. 1.3</w:t>
      </w:r>
    </w:p>
    <w:p>
      <w:r>
        <w:t>Das Bundesverwaltungsgericht entscheidet in der vorliegenden Angelegenheit endgültig (vgl. Art. 83 Bst. c Ziff. 1 BGG).</w:t>
      </w:r>
    </w:p>
    <w:p>
      <w:r>
        <w:rPr>
          <w:b/>
        </w:rPr>
        <w:t>E. 2.1</w:t>
      </w:r>
    </w:p>
    <w:p>
      <w:r>
        <w:t>Mit Beschwerde an das Bundesverwaltungsgericht kann vorliegend die Verletzung von Bundesrecht einschliesslich Überschreitung oder Missbrauch des Ermessens, die unrichtige oder unvollständige Feststellung des rechtserheblichen Sachverhaltes und die Unangemessenheit gerügt werden (vgl. Art. 49 VwVG). Das Gericht wendet im Beschwerdeverfahren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2.2</w:t>
      </w:r>
    </w:p>
    <w:p>
      <w:r>
        <w:t>Die Beschwerdeinstanz bringt eine nicht zum Vornherein unzulässige oder unbegründete Beschwerde ohne Verzug der Vorinstanz und allfälligen Gegenparteien des Beschwerdeführers oder anderen Beteiligten zur Kenntnis, setzt ihnen Frist zur Vernehmlassung an und fordert gleichzeitig die Vorinstanz zur Vorlage ihrer Akten auf (Art. 57 Abs. 1 VwVG). Wie nachstehend aufgezeigt, handelt es sich vorliegend um eine zum vornherein unbegründete Beschwerde, weshalb auf einen Schriftenwechsel verzichtet wurde.</w:t>
      </w:r>
    </w:p>
    <w:p>
      <w:r>
        <w:rPr>
          <w:b/>
        </w:rPr>
        <w:t>E. 3.1</w:t>
      </w:r>
    </w:p>
    <w:p>
      <w:r>
        <w:t>Der angefochtenen Verfügung liegen Gesuche syrischer Staatsangehöriger um Erteilung von Visa zu Besuchszwecken für die Schweiz zugrunde. Da sich die Gesuchstellenden nicht auf die EU/EFTA-Personenfreizügigkeitsabkommen berufen können und die beabsichtigte Aufenthaltsdauer 90 Tage nicht überschreitet, fällt die vorliegende Streitsache in den persönlichen und sachlichen Anwendungsbereich der Schengen-Assoziierungsabkommen, mit denen die Schweiz den Schengen-Besitzstand sowie die dazugehörigen gemeinschaftsrechtlichen Rechtsakte übernommen hat. Das AIG (SR 142.20) und seine Ausführungsbestimmungen gelangen nur soweit zur Anwendung, als die Schengen-Assoziierungsabkommen keine abweichenden Bestimmungen enthalten (Art. 2 Abs. 2-5 AIG).</w:t>
      </w:r>
    </w:p>
    <w:p>
      <w:r>
        <w:rPr>
          <w:b/>
        </w:rPr>
        <w:t>E. 3.2</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3.3</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gemäss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Aufenthaltes verlassen, beziehungsweise ausreichende Gewähr für eine fristgerechte Wiederausreise zu bieten.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[kodifizierter Text] über einen Gemeinschaftskodex für das Überschreiten der Grenzen durch Personen [nachfolgend: Schengener Grenzkodex, SGK, ABl. L 77/1 vom 23.03.2016]; Art. 14 Abs. 1 und Art. 21 Abs. 1 der Verordnung [EG] Nr. 810/2009 des Europäischen Parlaments und des Rates vom 13. Juli 2009 über einen Visakodex der Gemeinschaft [nachfolgend: Visakodex, VK, Abl. L 243 vom 15.9.2009]).</w:t>
      </w:r>
    </w:p>
    <w:p>
      <w:r>
        <w:rPr>
          <w:b/>
        </w:rPr>
        <w:t>E. 3.4</w:t>
      </w:r>
    </w:p>
    <w:p>
      <w:r>
        <w:t>Eine Gefahr für die öffentliche Ordnung im Sinne von Art. 6 Abs. 1 Bst. e SGK ist auch dann anzunehmen, wenn die drittstaatsangehörige Person nicht bereit ist, das Hoheitsgebiet des Schengen-Raums fristgerecht wieder zu verlassen (BVGE 2014/1 E. 4.3 m.H.). Die Behörden haben daher zu prüfen und die drittstaatsangehörige Person hat zu belegen, dass keine Gefahr einer rechtswidrigen Einwanderung oder einer nicht fristgerechten Ausreise besteht (Art. 14 Abs. 1 Bst. d und Art. 21 Abs. 1 VK). Bestehen Zweifel daran, dass die gesuchstellende Person das Hoheitsgebiet der Mitgliedstaaten fristgerecht wieder verlässt, so ist das Visum zu verweigern (Art. 32 Abs. 1 Bst. b VK). Den Behörden kommt bei der Beurteilung, ob die Voraussetzungen für die Visumerteilung erfüllt sind, ein weiter Beurteilungsspielraum zu (BVGE 2014/1 E. 4.1.5).</w:t>
      </w:r>
    </w:p>
    <w:p>
      <w:r>
        <w:rPr>
          <w:b/>
        </w:rPr>
        <w:t>E. 3.5</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in Frage stehende Mitgliedstaat u.a. Gebrauch machen, wenn er es aus humanitären Gründen, aus solchen des nationalen Interesses oder aufgrund internationaler Verpflichtungen für erforderlich hält (vgl. Art. 5 Abs. 3 AIG; Art. 3 Abs. 4 VEV; Art. 25 Abs. 1 Bst. a VK; Art. 6 Abs. 5 Bst. c SGK).</w:t>
      </w:r>
    </w:p>
    <w:p>
      <w:r>
        <w:rPr>
          <w:b/>
        </w:rPr>
        <w:t>E. 3.6</w:t>
      </w:r>
    </w:p>
    <w:p>
      <w:r>
        <w:t>Aufgrund ihrer syrischen Staatsangehörigkeit unterliegen die Gesuchstellenden der Visumspflicht (vgl. Art. 8 Abs. 1 VEV i.V.m. Anhang I der in E. 3.3 erwähnten Verordnung [EU] 2018/1806; Art. 6 Abs. 1 Bst. b SGK).</w:t>
      </w:r>
    </w:p>
    <w:p>
      <w:r>
        <w:rPr>
          <w:b/>
        </w:rPr>
        <w:t>E. 4.1</w:t>
      </w:r>
    </w:p>
    <w:p>
      <w:r>
        <w:t>Die Vorinstanz begründet die Abweisung der Einsprache im Wesentlichen damit, dass die Wiederausreise der Gesuchstellenden nicht gewährleistet sei. Bei der Beurteilung des Kriteriums der gesicherten Wiederausreise muss ein zukünftiges Verhalten beurteilt werden. Anhaltspunkte dazu können sich zunächst aus der allgemeinen Situation im Herkunftsland der drittstaatsangehörigen Personen ergeben. Namentlich bei Einreisegesuchen von Personen aus Staaten bzw. Regionen mit politisch, wirtschaftlich und sozial ungünstigen Verhältnissen rechtfertigt sich eine strengere Praxis, da die persönliche Interessenlage in solchen Fällen erfahrungsgemäss häufig nicht mit dem Ziel und Zweck einer zeitlich befristeten Einreisebewilligung im Einklang steht (BVGE 2014/1 E. 6.1 m.H.).</w:t>
      </w:r>
    </w:p>
    <w:p>
      <w:r>
        <w:rPr>
          <w:b/>
        </w:rPr>
        <w:t>E. 4.2</w:t>
      </w:r>
    </w:p>
    <w:p>
      <w:r>
        <w:t>In weiten Teilen Syriens besteht aufgrund der seit langem anhaltenden kriegerischen Auseinandersetzungen ein hoher Abwanderungsdruck unter der zivilen Bevölkerung. Viele sind in benachbarte Staaten geflüchtet und versuchen von dort aus, weiter - insbesondere nach Europa - zu gelangen (vgl. Asylstatistik 2021 des SEM vom 15. Februar 2022, S. 14 f., stat-jahr-2021-kommentar (1).pdf , abgerufen am 14.03.2022). Völlig zu Recht wies die Vorinstanz auch darauf hin, dass dort, wo bereits verwandtschaftliche Verknüpfungen zu einer Zieldestination bestehen, auch ein entsprechender Zuwanderungsdruck festzustellen ist. Vor diesem Hintergrund ist nicht zu beanstanden, wenn die Vorinstanz das Risiko als hoch einschätzt, dass syrische Staatsangehörige - einmal in der Schweiz - nicht mehr in ihren Heimatstaat zurückkehren wollen. Einreisegesuchen aus Syrien mit dem erklärten Ziel von Besuchsaufenthalten ist deshalb ganz allgemein mit grösster Zurückhaltung zu begegnen (vgl. BVGE 2014/1 E. 6.1).</w:t>
      </w:r>
    </w:p>
    <w:p>
      <w:r>
        <w:rPr>
          <w:b/>
        </w:rPr>
        <w:t>E. 5.1</w:t>
      </w:r>
    </w:p>
    <w:p>
      <w:r>
        <w:t>Bei der Risikoanalyse sind allerdings nicht nur solch allgemeine Umstände und Erfahrungen, sondern auch sämtliche Gesichtspunkte des konkreten Einzelfalles zu berücksichtigen. Obliegt einer gesuchstellenden Person im Heimatland eine besondere berufliche, gesellschaftliche oder familiäre Verantwortung, kann dieser Umstand durchaus die Prognose für eine anstandslose Wiederausreise begünstigen. Demgegenüber muss bei Personen, die in ihrer Heimat keine besonderen Verpflichtungen haben, das Risiko für ein ausländerrechtlich nicht regelkonformes Verhalten nach einer bewilligten Einreise als hoch eingeschätzt werden (BVGE 2014/1 E. 6.3.1; 2009/27 E. 7).</w:t>
      </w:r>
    </w:p>
    <w:p>
      <w:r>
        <w:rPr>
          <w:b/>
        </w:rPr>
        <w:t>E. 5.2</w:t>
      </w:r>
    </w:p>
    <w:p>
      <w:r>
        <w:t>Aus den Akten ist nicht ersichtlich, inwiefern die Gesuchstellenden über aussergewöhnliche gesellschaftliche oder familiäre Bindungen und Verpflichtungen in Syrien verfügen. Beide sind bereits pensioniert. Der Gesuchsteller hat gemäss eigenen Aussagen bis zu seiner Pensionierung bei einem staatlichen Öl-Werk gearbeitet. Nebst dem Beschwerdeführer in der Schweiz leben sechs weitere Kinder in Deutschland und zwei in Syrien. Der Beschwerdeführer macht geltend, aufgrund des fortgeschrittenen Alters hätten seine Eltern kein Interesse daran, sich in Europa ein neues Leben aufzubauen. Zudem hätten sie in Syrien ein Haus und könnten sich trotz der Pensionierung ihr Leben leisten. Diese Vorbringen lassen jedoch nicht auf besondere familiäre beziehungsweise gesellschaftliche Verpflichtungen schliessen, welche Gewähr für eine fristgerechte Wiederausreise bieten würden. Auch kann nicht davon ausgegangen werden, dass die Gesuchstellenden in derart soliden wirtschaftlichen Verhältnissen leben, die sie von einer Emigration abhalten könnten. Mit der Vorinstanz ist deshalb davon auszugehen, dass die Gesuchstellenden aufgrund ihrer persönlichen Situation keine Verpflichtungen oder gar Abhängigkeiten haben, die besondere Gewähr für eine Rückkehr ins Heimatland bieten könnten.</w:t>
      </w:r>
    </w:p>
    <w:p>
      <w:r>
        <w:rPr>
          <w:b/>
        </w:rPr>
        <w:t>E. 5.3</w:t>
      </w:r>
    </w:p>
    <w:p>
      <w:r>
        <w:t>An der Richtigkeit der Einschätzung der Vorinstanz ändert auch die Tatsache nichts, dass der Beschwerdeführer die Haftung - wenn notwendig notariell beglaubigt - für die fristgerechte Ausreise der Gesuchstellenden übernehmen möchte. Bei der Risikobeurteilung ist in erster Linie das mögliche Verhalten der Gäste selbst von Bedeutung. Gastgeber und Garanten können mit rechtlich verbindlicher Wirkung zwar für gewisse finanzielle Risiken im Zusammenhang mit dem Besuchsaufenthalt, nicht aber für ein bestimmtes Tun oder Unterlassen ihrer Gäste einstehen (vgl. in diesem Zusammenhang auch BVGE 2009/27 E. 9).</w:t>
      </w:r>
    </w:p>
    <w:p>
      <w:r>
        <w:rPr>
          <w:b/>
        </w:rPr>
        <w:t>E. 5.4</w:t>
      </w:r>
    </w:p>
    <w:p>
      <w:r>
        <w:t>Nach dem Gesagten ist die Schlussfolgerung der Vorinstanz, wonach die Wiederausreise der Gesuchstellenden angesichts ihrer individuellen Situation sowie der allgemeinen Lage Syriens nicht als gesichert angesehen werden könne, nicht zu beanstanden. Mithin fehlt es an einer unabdingbaren Voraussetzung für die Erteilung eines einheitlichen Visums für den gesamten Schengen-Raum. Gründe für die Ausstellung von Visa mit räumlich beschränkter Gültigkeit wurden von den Beteiligten zu Recht nicht geltend gemacht und solche sind auch nicht ersichtlich (vgl. oben E. 3.5).</w:t>
      </w:r>
    </w:p>
    <w:p>
      <w:r>
        <w:rPr>
          <w:b/>
        </w:rPr>
        <w:t>E. 6</w:t>
      </w:r>
    </w:p>
    <w:p>
      <w:r>
        <w:t>Gestützt auf die obigen Erwägungen erweist sich die Verweigerung der Ausstellung der Visa durch die Vorinstanz als rechtmässig. Die angefochtene Verfügung ist somit im Lichte von Art. 49 VwVG nicht zu beanstanden. Die Beschwerde ist abzuweisen.</w:t>
      </w:r>
    </w:p>
    <w:p>
      <w:r>
        <w:rPr>
          <w:b/>
        </w:rPr>
        <w:t>E. 7</w:t>
      </w:r>
    </w:p>
    <w:p>
      <w:r>
        <w:t>Bei diesem Ausgang des Verfahrens sind die Kosten den Beschwerdeführenden aufzuerlegen und auf Fr. 1'000.- festzusetzen (vgl. Art. 63 Abs. 1 VwVG i.V.m. Art. 1 ff. des Reglements vom 21. Februar 2008 über die Kosten und Entschädigungen vor dem Bundesverwaltungsgericht [VGKE, SR 173.320.2]). Die Verfahrenskosten sind durch den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