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F-6430/2025 vom 18. Dezember 2025</w:t>
      </w:r>
    </w:p>
    <w:p>
      <w:r>
        <w:t>Bundesverwaltungsgericht, 2025-12-18, DE</w:t>
      </w:r>
    </w:p>
    <w:p>
      <w:r>
        <w:rPr>
          <w:b/>
        </w:rPr>
        <w:t xml:space="preserve">Quelle: </w:t>
      </w:r>
      <w:r>
        <w:t>https://mcp.opencaselaw.ch/entscheid/bvger_F-6430_2025</w:t>
      </w:r>
    </w:p>
    <w:p>
      <w:r>
        <w:t>FR: TAF F-6430/2025 du 18 décembre 2025</w:t>
      </w:r>
    </w:p>
    <w:p>
      <w:r>
        <w:t>IT: TAF F-6430/2025 del 18 dicembre 2025</w:t>
      </w:r>
    </w:p>
    <w:p>
      <w:pPr>
        <w:pStyle w:val="Heading2"/>
      </w:pPr>
      <w:r>
        <w:t>Regeste</w:t>
      </w:r>
    </w:p>
    <w:p>
      <w:r>
        <w:t>Schengen-Visum</w:t>
      </w:r>
    </w:p>
    <w:p>
      <w:pPr>
        <w:pStyle w:val="Heading2"/>
      </w:pPr>
      <w:r>
        <w:t>Erwägungen</w:t>
      </w:r>
    </w:p>
    <w:p>
      <w:r>
        <w:rPr>
          <w:b/>
        </w:rPr>
        <w:t>E. 1</w:t>
      </w:r>
    </w:p>
    <w:p>
      <w:r>
        <w:t>und 52 Abs. 1 VwVG).</w:t>
      </w:r>
    </w:p>
    <w:p>
      <w:r>
        <w:rPr>
          <w:b/>
        </w:rPr>
        <w:t>E. 1.1</w:t>
      </w:r>
    </w:p>
    <w:p>
      <w:r>
        <w:t>Einspracheentscheide des SEM bezüglich Schengen-Visa sind mit Be- schwerde beim Bundesverwaltungsgericht anfechtbar (vgl. Art. 112 Abs. 1 AIG [SR 142.20] i.V.m. Art. 31 ff. VGG). Das Rechtsmittelverfahren richtet sich nach dem VwVG, soweit das VGG nichts anderes bestimmt (Art. 37 VGG).</w:t>
      </w:r>
    </w:p>
    <w:p>
      <w:r>
        <w:rPr>
          <w:b/>
        </w:rPr>
        <w:t>E. 1.2</w:t>
      </w:r>
    </w:p>
    <w:p>
      <w:r>
        <w:t>Der Beschwerdeführer hat am vorangegangenen Einspracheverfahren teilgenommen und ist durch den angefochtenen Entscheid besonders be- rührt. Obwohl der ursprünglich angestrebte Besuchszeitraum inzwischen abgelaufen ist, kann auf ein fortbestehendes Rechtsschutzinteresse ge- schlossen werden. Der Beschwerdeführer ist daher zur Erhebung des Rechtsmittels legitimiert (Art. 48 Abs. 1 VwVG). Auf die im Übrigen frist- und formgerecht eingereichte Beschwerde ist einzutreten (vgl. Art. 50 Abs.</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Der angefochtenen Verfügung liegt ein Gesuch eines ägyptischen Staatsangehörigen um Erteilung eines Visums zu Besuchszwecken in der Schweiz zugrunde. Da er sich als Drittstaatsangehöriger nicht auf die EU/EFTA-Personenfreizügigkeitsabkommen berufen kann und die beab- sichtigte Aufenthaltsdauer 90 Tage nicht überschreitet, fällt die vorliegende Streitsache in den Anwendungsbereich der Schengen-Assoziierungs-</w:t>
      </w:r>
    </w:p>
    <w:p>
      <w:r>
        <w:t>F-6430/2025 Seite 4 abkommen, mit denen die Schweiz den Schengen-Besitzstand sowie die dazugehörigen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Visa auf- 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November 2018 zur Aufstellung der Liste der Drittländer, deren Staats- angehörige beim Überschreiten der Aussengrenzen im Besitz eines Vi- sums sein müssen, sowie der Liste der Drittländer, deren Staatsangehörige von dieser Visumspflicht befreit sind (ABI. L 303/39 vom 28. November 2018 [nachfolgend: EU-Visa-VO]). Des Weiteren müssen Drittstaatsange- hörige den Zweck und die Umstände ihres beabsichtigten Aufenthalts be- legen und hierfür über ausreichende finanzielle Mittel verfügen. Sie dürfen nicht im Schengener Informationssystem (SIS) zur Einreiseverweigerung ausgeschrieben sein und keine Gefahr für die öffentliche Ordnung, die in- nere Sicherheit, die öffentliche Gesundheit oder die internationalen Bezie- 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w:t>
      </w:r>
    </w:p>
    <w:p>
      <w:r>
        <w:t>F-6430/2025 Seite 5 Überschreiten der Grenzen durch Personen [Schengener Grenzkodex, SGK, ABl. L 77/1 vom 23. Juni 2016]; Art. 14 Abs. 1 und Art. 21 Abs. 1 der Verordnung [EG] Nr. 810/2009 des Europäischen Parlaments und des Ra- 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bestehen an der Echtheit der von den gesuchstellenden Personen eingereichten Be- lege oder am Wahrheitsgehalt ihres Inhalts, an der Glaubhaftigkeit ihrer Aussagen oder der von ihnen bekundeten Absicht, das Hoheitsgebiet der Mitgliedstaaten vor Ablauf der Gültigkeit des beantragten Visums zu ver- lassen (Art. 32 Abs. 1 Bst. b VK).</w:t>
      </w:r>
    </w:p>
    <w:p>
      <w:r>
        <w:rPr>
          <w:b/>
        </w:rPr>
        <w:t>E. 3.5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w:t>
      </w:r>
    </w:p>
    <w:p>
      <w:r>
        <w:t>Aufgrund seiner ägyptischen Staatsangehörigkeit unterliegt der Beschwer- deführer der Visumspflicht. Bei der Prüfung der Einreisevoraussetzungen erachtete die Vorinstanz unter anderem die fristgerechte Ausreise aus dem Schengen-Raum als nicht gesichert, worauf nachfolgend einzugehen ist.</w:t>
      </w:r>
    </w:p>
    <w:p>
      <w:r>
        <w:rPr>
          <w:b/>
        </w:rPr>
        <w:t>E. 4.1</w:t>
      </w:r>
    </w:p>
    <w:p>
      <w:r>
        <w:t>Bei der Beurteilung des Kriteriums der gesicherten Wiederausreise muss ein zukünftiges Verhalten beurteilt werden. Hierzu sind lediglich Prognosen möglich, wobei sämtliche Umstände des konkreten Einzelfalls</w:t>
      </w:r>
    </w:p>
    <w:p>
      <w:r>
        <w:t>F-6430/2025 Seite 6 zu würdigen sind. In die Beurteilung miteinzubeziehen sind die allgemeine Lage im Herkunftsland sowie die individuelle Situation der gesuchstellen- den Person. Bei Einreisegesuchen von Personen aus Regionen mit poli- tisch und/oder wirtschaftlich ungünstigen Verhältnissen rechtfertigt sich eine strenge Praxis, da die persönliche Interessenlage in solchen Fällen häufig nicht mit dem Ziel und Zweck einer zeitlich befristeten Einreisebe- willigung im Einklang steht (BVGE 2014/1 E. 6.1 m.H.).</w:t>
      </w:r>
    </w:p>
    <w:p>
      <w:r>
        <w:rPr>
          <w:b/>
        </w:rPr>
        <w:t>E. 4.2</w:t>
      </w:r>
    </w:p>
    <w:p>
      <w:r>
        <w:t>Die allgemeine Lage in Ägypten ist in verschiedener Hinsicht ange- spannt. Seit dem Amtsantritt von Staatspräsident Al-Sisi vor gut 10 Jahren 2014 ist das staatliche Handeln stark von Sicherheitsdenken und Machter- halt geprägt. Die in der Verfassung verankerten Rechte auf Meinungs-, Ver- sammlungs- und Pressefreiheit werden zunehmend eingeschränkt. Das Land steht zudem in ökonomischer Hinsicht vor großen Herausforderun- gen. Die Wirtschaftslage ist seit einigen Jahren fragil und wird durch ex- terne Einflüsse, wie etwa den Krieg im Gazastreifen, belastet. Knapp ein Drittel der Bevölkerung lebt unterhalb der nationalen Armutsgrenze, ein weiteres Drittel knapp darüber (vgl. https://www.bmz.de/de/laender/aegyp- ten, abgerufen im November 2025). Das hohe Bevölkerungswachstum ist eine Herausforderung für das Land. In den letzten 30 Jahren hat sich die Einwohnerzahl nahezu verdoppelt, lag 2024 bei rund 116 Millionen und zu- dem ist fast ein Drittel der Bevölkerung jünger als 15 Jahre. Auf dem aktu- ellen Index der menschlichen Entwicklung belegt Ägypten Rang 100 von 193 Ländern (vgl. https://www.bmz.de/de/laender/aegypten/soziale-situa- tion-11612, abgerufen im November 2025).</w:t>
      </w:r>
    </w:p>
    <w:p>
      <w:r>
        <w:rPr>
          <w:b/>
        </w:rPr>
        <w:t>E. 4.3</w:t>
      </w:r>
    </w:p>
    <w:p>
      <w:r>
        <w:t>Vor diesem Hintergrund ist nicht zu beanstanden, dass die Vorinstanz das Risiko einer nicht fristgerechten Wiederausreise von Personen aus Ägypten allgemein als hoch einschätzt. In Bezug auf die konkreten Lebens- umstände des Beschwerdeführers rechtfertigt sich daher ein strenger Massstab.</w:t>
      </w:r>
    </w:p>
    <w:p>
      <w:r>
        <w:rPr>
          <w:b/>
        </w:rPr>
        <w:t>E. 4.4</w:t>
      </w:r>
    </w:p>
    <w:p>
      <w:r>
        <w:t>Nebst den allgemeinen Verhältnissen im Herkunftsland sind, wie der Beschwerdeführer zu Recht geltend macht (BVGer act. 1 S. 2), auch die Umstände des konkreten Einzelfalls, insbesondere die berufliche, gesell- schaftliche und familiäre Verantwortung der Personen im Herkunftsland zu berücksichtigen. In diesem Sinne verwies bereits die Vorinstanz in der an- gefochtenen Verfügung auf die persönlichen Verhältnisse des Beschwer- deführers und würdigte sie in rechtsgenüglicher Weise (vgl. S. 2, 6. Ab- schnitt ebenda).</w:t>
      </w:r>
    </w:p>
    <w:p>
      <w:r>
        <w:t>F-6430/2025 Seite 7</w:t>
      </w:r>
    </w:p>
    <w:p>
      <w:r>
        <w:rPr>
          <w:b/>
        </w:rPr>
        <w:t>E. 4.5</w:t>
      </w:r>
    </w:p>
    <w:p>
      <w:r>
        <w:t>Bei Personen, die in ihrer Heimat keine besonderen Verpflichtungen wahrnehmen oder die sich in wirtschaftlich ungünstigen Verhältnissen be- finden, muss das Risiko eines ausländerrechtlich nicht regelkonformen Verhaltens nach einer bewilligten Einreise als vergleichsweise hoch einge- schätzt werden (vgl. BVGE 2019 VII/1 E. 7.2; 2014/1 E. 6.3.1; 2009/27 E. 8).</w:t>
      </w:r>
    </w:p>
    <w:p>
      <w:r>
        <w:rPr>
          <w:b/>
        </w:rPr>
        <w:t>E. 5.1</w:t>
      </w:r>
    </w:p>
    <w:p>
      <w:r>
        <w:t>Beim Beschwerdeführer handelt es sich um einen (…)-jährigen, ledi- gen und kinderlosen Mann. Gemäss den Akten verfügt er über enge fami- liäre Bindungen in der Heimat (Mutter, Bruder, drei Schwestern sowie de- ren Kinder). Sein Vater sei verstorben; er sei das Familienoberhaupt. Wäh- rend seiner Abwesenheit sorge sein Bruder für die Familie (vgl. SEM act. 83, 120 f.; BVGer act. 1 S. 1). Vorliegend sollen die familiären Bindungen nicht in Frage gestellt werden. Allerdings können allein dadurch keine be- sonderen Verpflichtungen begründet werden, welche eine persönliche Prä- senz in der Heimat zwingend erfordern würden oder die besondere Gewähr für eine Rückkehr bieten könnten. Es ist davon auszugehen, dass er die familiären Aufgaben auch aus dem Ausland wahrnehmen könnte, allenfalls mit Hilfe seines Bruders in Ägypten, welcher sich gemäss Angaben der Gastgeberin bei Abwesenheit des Beschwerdeführers um die Familie küm- mert (SEM act. 120).</w:t>
      </w:r>
    </w:p>
    <w:p>
      <w:r>
        <w:t>Ferner kann nicht unbeachtet bleiben, dass der Beschwerdeführer durch die hier lebende Gastgeberin über ein vorbestehendes soziales Bezie- hungsnetz verfügt, was das Emigrationsrisiko erhöht (vgl. BVGE 2014/1 E. 6.2.2; Urteil des BVGer F-1952/2025 vom 28. Mai 2025 E. 4.4).</w:t>
      </w:r>
    </w:p>
    <w:p>
      <w:r>
        <w:rPr>
          <w:b/>
        </w:rPr>
        <w:t>E. 5.2</w:t>
      </w:r>
    </w:p>
    <w:p>
      <w:r>
        <w:t>In Bezug auf die wirtschaftliche Situation des Beschwerdeführers ergibt sich aus den vorinstanzlichen Akten, dass er als selbständiger Anwalt tätig ist (BVGer act. 1 S. 1; SEM act. 83). Er habe mehrere Rechtsfälle, bei de- nen seine persönliche Anwesenheit vor Gericht erforderlich sei und lau- fende berufliche Verpflichtungen, weshalb seine Rückkehr unerlässlich sei (SEM act. 25). Weiter besitze er Vermögenswerte in seinem Heimatland, darunter geerbtes Familienvermögen (Land, ein Haus, ein Wohngebäude und ein Fahrzeug), welches ihm gemeinsam mit seinen Geschwistern als Teil des Erbes seines verstorbenen Vaters gehöre (SEM act. 82 f.). Dazu reichte er diverse Dokumente zu den Akten (vgl. SEM act. 38 ff.). Er machte keine Angaben zu seinen monatlichen Einkünften als selbst- ständiger Anwalt. Gemäss dem Einkommensnachweis vom 11. März 2025</w:t>
      </w:r>
    </w:p>
    <w:p>
      <w:r>
        <w:t>F-6430/2025 Seite 8 soll er ein monatliches Einkommen von EGP 40'000.00 (ca. CHF 676.00 [SEM act. 53]) erhalten. Weiter soll er gemäss einem Mietvertrag durch die Vermietung einer Wohnung ab dem 1. Januar 2025 monatlich EGP 3'500.00 (ca. CHF 59.00 [SEM act. 55]) erhalten. Dem im vorinstanzlichen Verfahren eingereichten Kontoauszug für den Zeitraum vom 1. Oktober 2024 bis zum 29. April 2025 sind demgegenüber keine entsprechenden Einzahlungen zu entnehmen (SEM act. 68 ff.). Vielmehr unterliegen die monatlichen Einzahlungen grossen Schwankungen. Unklar bleibt zudem, in welchem Umfang die eingegangenen Beträge seinen beruflichen Ein- künften zugeordnet werden können. Eine Einzahlung über EGP 125'000.00 (ca. CHF 2'114.00) am 2. Februar 2025 wirft zudem Fragen auf, zumal der Betrag bereits am 4. Februar 2025 wieder abgebucht wurde. Hinsichtlich seiner weiteren Vermögenswerte finden sich in den Akten keine konkreten Angaben. Die zwei eingereichten Dokumente «Finale Sale Contract» zeigen nur auf, dass wohl der Vater des Beschwerdeführers im Jahr 2002 Grundstücke erwarb und dafür EGP 5'000.00 und EGP 70'000.00 bezahlte (SEM act. 41 ff.). Aktuelle Angaben zu den Eigentums- verhältnissen und zum Wert der Grundstücke/Immobilien liegen nicht vor. Damit gelingt es dem Beschwerdeführer nicht, seine Einkünfte und seine Vermögenssituation schlüssig zu belegen. Insbesondere kann mit den ein- gereichten Dokumenten nicht nachvollziehbar nachgewiesen werden, dass er sich in privilegierten beziehungsweise soliden wirtschaftlichen Verhält- nissen befindet.</w:t>
      </w:r>
    </w:p>
    <w:p>
      <w:r>
        <w:rPr>
          <w:b/>
        </w:rPr>
        <w:t>E. 5.3</w:t>
      </w:r>
    </w:p>
    <w:p>
      <w:r>
        <w:t>Bei gesamthafter Betrachtung der allgemeinen Lage in Ägypten und der persönlichen Situation des Beschwerdeführers besteht somit keine ausreichende Gewähr für seine fristgerechte und anstandslose Wiederaus- reise nach einem Besuchsaufenthalt. Nichts daran zu ändern vermag die Tatsache, dass die Gastgeberin die Finanzierung des Aufenthalts in der Schweiz sowie seine Rückreise zusicherte und in diesem Zusammenhang eine Verpflichtungserklärung unterzeichnete (BVGer act. 1 S. 1). Die Gast- geberin kann zwar mit rechtlich verbindlicher Wirkung für gewisse finanzi- elle Risiken im Zusammenhang mit einem Besuchsaufenthalt einstehen, nicht aber für ein bestimmtes Verhalten der eingeladenen Person (vgl. BVGE 2014/1 E. 6.3.7 und BVGE 2009/27 E. 9).</w:t>
      </w:r>
    </w:p>
    <w:p>
      <w:r>
        <w:rPr>
          <w:b/>
        </w:rPr>
        <w:t>E. 5.4</w:t>
      </w:r>
    </w:p>
    <w:p>
      <w:r>
        <w:t>Unter den vorstehend erwogenen Umständen durfte die Vorinstanz da- von ausgehen, dass keine hinreichende Gewähr für eine fristgerechte und</w:t>
      </w:r>
    </w:p>
    <w:p>
      <w:r>
        <w:t>F-6430/2025 Seite 9 anstandslose Wiederausreise des Beschwerdeführers nach einem Be- suchsaufenthalt besteht. Weitere Ausführungen zu dem von der Vorinstanz geäusserten Zweifel am Zweck des Aufenthalts erübrigen sich damit.</w:t>
      </w:r>
    </w:p>
    <w:p>
      <w:r>
        <w:rPr>
          <w:b/>
        </w:rPr>
        <w:t>E. 6</w:t>
      </w:r>
    </w:p>
    <w:p>
      <w:r>
        <w:t>Gestützt auf die obigen Erwägungen hat die Vorinstanz das Schengen-Vi- sum zu Recht verweigert. Die angefochtene Verfügung ist im Lichte von Art. 49 VwVG nicht zu beanstanden und die Beschwerde daher abzuwei- sen.</w:t>
      </w:r>
    </w:p>
    <w:p>
      <w:r>
        <w:rPr>
          <w:b/>
        </w:rPr>
        <w:t>E. 7</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 Eine Parteientschädigung fällt ausgangsge- mäss ausser Betracht (Art. 64 Abs. 1 VwVG).</w:t>
      </w:r>
    </w:p>
    <w:p>
      <w:r>
        <w:t>(Dispositiv nächste Seite)</w:t>
      </w:r>
    </w:p>
    <w:p>
      <w:r>
        <w:t>F-6430/2025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