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F-6427/2018 vom 20. Februar 2020</w:t>
      </w:r>
    </w:p>
    <w:p>
      <w:r>
        <w:t>Bundesverwaltungsgericht, 2020-02-20, DE</w:t>
      </w:r>
    </w:p>
    <w:p>
      <w:r>
        <w:rPr>
          <w:b/>
        </w:rPr>
        <w:t xml:space="preserve">Quelle: </w:t>
      </w:r>
      <w:r>
        <w:t>https://mcp.opencaselaw.ch/entscheid/bvger_F-6427_2018</w:t>
      </w:r>
    </w:p>
    <w:p>
      <w:r>
        <w:t>FR: TAF F-6427/2018 du 20 février 2020</w:t>
      </w:r>
    </w:p>
    <w:p>
      <w:r>
        <w:t>IT: TAF F-6427/2018 del 20 febbraio 2020</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Beschwerdeführerinnen sind als Verfügungsadressatinnen zur Beschwerde legitimiert (Art. 48 Abs. 1 VwVG). Auf das frist- und formgerecht eingereichte Rechtsmittel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Über die verfahrensrechtlichen Anträge auf Akteneinsicht und die damit im Zusammenhang stehenden Gesuche um Gewährung des rechtlichen Gehörs und Beschwerdeergänzung wurde bereits mit Zwischenverfügung vom 16. April 2019 abschliessend entschieden. Es wurde keine Gehörsverletzung festgestellt, da die Beschwerdeführerinnen durch eine Zusammenfassung der für den Verfahrensgegenstand relevanten Passagen der vorinstanzlichen Aktenstücke SEM-act. 105 und 106 (Gesprächsprotokolle zu den Auskünften des irakischen Aussenministeriums und der irakischen Botschaft) Kenntnis vom wesentlichen Inhalt erhalten hatten. Verfahrensgegenstand und im Folgenden zu beurteilen sind damit die Anträge auf Rückweisung der Sache an die Vorinstanz zur Sachverhaltsabklärung und Neubeurteilung sowie eventualiter um Gutheissung des Gesuchs um Ausstellung eines Passes für eine ausländische Person.</w:t>
      </w:r>
    </w:p>
    <w:p>
      <w:r>
        <w:rPr>
          <w:b/>
        </w:rPr>
        <w:t>E. 4.1</w:t>
      </w:r>
    </w:p>
    <w:p>
      <w:r>
        <w:t>In formeller Hinsicht beanstanden die Beschwerdeführerinnen zunächst, das SEM habe ihren Anspruch auf rechtliches Gehör verletzt, indem es den rechtserheblichen Sachverhalt nicht richtig verstanden und erfasst habe. Es habe das Gesuch der Beschwerdeführerinnen zu Unrecht auf das Problem beschränkt, wonach die irakische Vertretung in der Schweiz keine Reisedokumente ausstellen könne. Durch diese Beschränkung des Verfahrensgegenstands ignoriere es, dass sie zusätzlich zur Unmöglichkeit der Beschaffung von Reisedokumenten auch die Unzumutbarkeit einer Reise in den Irak zwecks Papierbeschaffung geltend gemacht hätten. Dies sei jedoch nicht erwähnt und gewürdigt worden. Damit sei die Vorinstanz ihrer Begründungspflicht nicht nachgekommen (BVGer-act. 1 S. 6 ff.).</w:t>
      </w:r>
    </w:p>
    <w:p>
      <w:r>
        <w:rPr>
          <w:b/>
        </w:rPr>
        <w:t>E. 4.2</w:t>
      </w:r>
    </w:p>
    <w:p>
      <w:r>
        <w:t>Die Parteien haben im Verwaltungsverfahren und im verwaltungsgerichtlichen Verfahren Anspruch auf rechtliches Gehör (Art. 29 Abs. 2 BV und Art. 29 ff. VwVG). Dazu gehört, dass die Behörde ihren Entscheid in nachvollziehbarer Weise begründet (Art. 35 Abs. 1 VwVG). Die Begründungspflicht dient der rationalen und transparenten Entscheidfindung und soll die Betroffenen in die Lage versetzen, den Entscheid sachgerecht anzufechten.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2019, Rz. 7 ff. zu Art. 35; Uhlmann/Schilling-Schwank, in: Waldmann/Weissenberger [Hrsg.], Praxiskommentar VwVG, 2 Aufl. 2016, Rz. 17 ff. zu Art. 35 VwVG; je m.H.).</w:t>
      </w:r>
    </w:p>
    <w:p>
      <w:r>
        <w:rPr>
          <w:b/>
        </w:rPr>
        <w:t>E. 4.3</w:t>
      </w:r>
    </w:p>
    <w:p>
      <w:r>
        <w:t>Das SEM führte zur Begründung der Abweisung des Gesuchs an, die Beschwerdeführerinnen hätten belegen können, dass sie für die Behandlung des Antrags um Ausstellung eines Passes und einer ID persönlich im Irak erscheinen müssten. Die Passausstellung in Europa sei derzeit organisatorischen Verzögerungen unterworfen, was jedoch keine Schriftenlosigkeit begründe. Es obliege den irakischen Behörden, ihren Staatsangehörigen zumutbare Wege zur Registrierung und Passbeschaffung aufzuzeigen (SEM-act. 99).</w:t>
      </w:r>
    </w:p>
    <w:p>
      <w:r>
        <w:rPr>
          <w:b/>
        </w:rPr>
        <w:t>E. 4.4</w:t>
      </w:r>
    </w:p>
    <w:p>
      <w:r>
        <w:t>Mit dieser Begründung umreisst die Vorinstanz den Verfahrensgegenstand des vorliegenden Verfahrens in seiner Gesamtheit, indem sie die zu klärenden Hauptfragen - Möglichkeit der Papierbeschaffung bei den heimatlichen Behörden im Irak oder bei der Botschaft in Bern und daraus zu ziehende Schlussfolgerung betreffend die geltend gemachte Schriftenlosigkeit - absteckt und würdigt. Entgegen den Ausführungen der Beschwerdeführerinnen ignoriert die Vorinstanz die Frage der Zumutbarkeit einer Papierbeschaffung im Irak nicht. So erachtet es das SEM in der angefochtenen Verfügung als erwiesen, dass eine Passbeschaffung nur durch persönliches Erscheinen im Irak möglich sei. Es macht damit die Frage nach einer allfälligen Möglichkeit der Passbeschaffung im Irak sehr wohl zum Gegenstand der vorinstanzlichen Ausführungen, konzentriert sich danach aber aufgrund der Einigkeit mit den Beschwerdeführerinnen über die Unzumutbarkeit einer Reise in den Irak (so explizit in den Vernehmlassungen der Vorinstanz in BVGer-act. 8 und 12) auf die Frage nach der Realisierbarkeit der Papierbeschaffung auf der Botschaft. In diesem Vorgehen ist weder eine unvollständige Sachverhaltsfeststellung noch eine Verletzung des rechtlichen Gehörs zu erkennen. Auch dass die Vorinstanz in der Folge unter Würdigung der organisatorischen Verzögerungen zum Schluss gelangt, es liege keine Schriftenlosigkeit vor, hat nichts mit einer unvollständigen Sachverhaltsfeststellung oder Begründungspflichtverletzung zu tun. Es bedeutet einzig, dass sie die Auswirkungen der Verzögerungen in rechtlicher Hinsicht anders würdigt als die Beschwerdeführerinnen. Ob diese Ansicht rechtlich standhält, wird im Folgenden zu prüfen sein. Die Rüge der Verletzung des rechtlichen Gehörs ist jedoch unbegründet.</w:t>
      </w:r>
    </w:p>
    <w:p>
      <w:r>
        <w:rPr>
          <w:b/>
        </w:rPr>
        <w:t>E. 5.1</w:t>
      </w:r>
    </w:p>
    <w:p>
      <w:r>
        <w:t>Die Ausstellung bzw. Verweigerung von Reisedokumenten an schriftenlose ausländische Personen hat ihre gesetzliche Grundlage in Art. 59 des Ausländer- und Integrationsgesetzes (AIG, SR 142.20). Dieser ist inhaltlich identisch mit Art. 59 des Ausländergesetzes (AuG), welches auf den 1. Januar 2019 hin eine namentliche und inhaltliche Anpassung erfuhr, weshalb im Folgenden die neue Gesetzesbezeichnung verwendet wird. Absatz 2 definiert die Anspruchsberechtigten. Zu ihnen gehören unter anderem ausländische Personen, welche gemäss dem Abkommen vom 28. Juli 1951 über die Rechtsstellung der Flüchtlinge die Flüchtlingseigenschaft erfüllen (Bst. a), welche gemäss dem Übereinkommen vom 28. September 1954 über die Rechtsstellung der Staatenlosen als staatenlos anerkannt sind, sowie solche, die schriftenlos sind und eine Niederlassungsbewilligung haben (Bst. c).</w:t>
      </w:r>
    </w:p>
    <w:p>
      <w:r>
        <w:rPr>
          <w:b/>
        </w:rPr>
        <w:t>E. 5.2</w:t>
      </w:r>
    </w:p>
    <w:p>
      <w:r>
        <w:t>Die Beschwerdeführerinnen verfügen über eine Niederlassungsbewilligung. Sofern sie als schriftenlos gelten, hätten sie demnach im Sinne von Art. 59 Abs. 2 Bst. c i.V.m. Art. 4 Abs. 1 der Verordnung vom 14. November 2012 über die Ausstellung von Reisedokumenten für ausländische Personen [RDV, SR 143.5]) einen Anspruch auf Ausstellung von Reisedokumenten. Betreffend RDV ist festzuhalten, dass diese per 15. September 2018, 1. Juni 2019 sowie 2. Februar 2020 Änderungen erfahren hat. Da diese das vorliegende Verfahren nicht tangieren, kann - insbesondere auch aufgrund des Ausgangs des Verfahrens - offengelassen werden, ob altes oder neues Recht zur Anwendung kommen soll.</w:t>
      </w:r>
    </w:p>
    <w:p>
      <w:r>
        <w:rPr>
          <w:b/>
        </w:rPr>
        <w:t>E. 5.3</w:t>
      </w:r>
    </w:p>
    <w:p>
      <w:r>
        <w:t>Als schriftenlos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5.4</w:t>
      </w:r>
    </w:p>
    <w:p>
      <w:r>
        <w:t>Der Beschwerdeführerin 1 wurde das Asyl widerrufen und die Flüchtlingseigenschaft aberkannt; das Gesuch der Beschwerdeführerin 2 um Einbezug in die Flüchtlingseigenschaft der Eltern wurde abgewiesen. Damit sind sie nicht asylsuchend oder schutzbedürftig im Sinne von Art. 10 Abs. 3 RDV. Es kann demnach von ihnen verlangt werden, dass sie mit ihren Heimatbehörden Kontakt aufnehmen (vgl. Art. 10 Abs. 1 Bst. a RDV). Die Beschwerdeführerinnen erheben dagegen keine Einwände. Sie machen jedoch geltend, dass sie sich bereits erfolglos auf der irakischen Botschaft um die Beschaffung von Reisepapieren bemüht hätten. Eine Reise in den Irak zur Vorsprache bei den dortigen Behörden zwecks Papierbeschaffung halten sie für unzumutbar, wovon auch die Vorinstanz ausdrücklich ausgeht (BVGer-act. 8; 12). Somit geht es im vorliegenden Fall einzig um die Frage, ob die Beschwerdeführerinnen die für die Ausstellung eines irakischen Passes benötigten Dokumente auf der Botschaft erhalten können oder ob dies - und damit auch der Passerhalt - im Sinne von Art. 10 Abs. 1 Bst. b RDV unmöglich ist und sie demnach gemäss Art. 59 Abs. 2 Bst. c AIG als schriftenlos geltende, niedergelassene Ausländerinnen einen Anspruch auf Ausstellung von Reisedokumenten durch das SEM haben.</w:t>
      </w:r>
    </w:p>
    <w:p>
      <w:r>
        <w:rPr>
          <w:b/>
        </w:rPr>
        <w:t>E. 6.1</w:t>
      </w:r>
    </w:p>
    <w:p>
      <w:r>
        <w:t>Die Vorinstanz begründete die Ablehnung des Gesuchs umAusstellung von Reisedokumenten mit Verfügung vom 17. Oktober 2018 folgendermassen: Abklärungen des SEM bei der irakischen Botschaft in Bern sowie beim irakischen Aussenministerium in Bagdad vom Juli 2018 hätten ergeben, dass die Passausstellung in Europa zurzeit aus organisatorischen Gründen eingeschränkt sei. Organisatorische Verzögerungen vermöchten jedoch keine Schriftenlosigkeit zu begründen, weshalb es in der Zuständigkeit der irakischen Behörden läge, ihren in der Schweiz wohnhaften Staatsangehörigen zumutbare Wege zur Registrierung und Papierbeschaffung aufzuzeigen (SEM-act. 99). An dieser Begründung hielt sie auch in der Vernehmlassung vom 21. Januar 2019 fest (BVGer-act. 8). Mit Stellungnahme vom 5. März 2019 betonte das SEM erneut, die derzeit bekannten Probleme im Zusammenhang mit der Passbeschaffung und Ausstellung von Identitätsdokumenten via Botschaft seien organisatorisch bedingt und würden daher keine Schriftenlosigkeit begründen. Sofern zur Passbeschaffung eine Reise ins naheliegende Ausland nötig sei, liege es nicht in der Zuständigkeit des SEM, durch die Ausstellung von Pässen konsularische Angelegenheiten Iraks zu regeln. Würde die Schweiz in einer solchen Phase von einer Schriftenlosigkeit ausgehen, wäre sie regelmässig gehalten, in die Passhoheit und damit in die völkerrechtliche Souveränität anderer Staaten einzugreifen (SEM-act. 12).</w:t>
      </w:r>
    </w:p>
    <w:p>
      <w:r>
        <w:rPr>
          <w:b/>
        </w:rPr>
        <w:t>E. 6.2</w:t>
      </w:r>
    </w:p>
    <w:p>
      <w:r>
        <w:t>Die Beschwerdeführerinnen brachten in ihrer Beschwerde vom 12. November 2018 dagegen vor, sie müssten mehrmals in den Irak reisen, um die Beschwerdeführerin 2 überhaupt erst im Zivilregister erfassen zu lassen und um danach ID und Nationalitätenausweise für sie beide zu beantragen. Dies sei unzumutbar und stelle ein beachtliches Risiko dar. Die Ausstellung der notwendigen Dokumente sei auch auf der Botschaft in Bern nicht möglich. Es handle sich bei den Problemen der Papierausstellung in Europa nicht nur um eine vorübergehende organisatorische, sondern um eine längerdauernde Verzögerung. Die Beschaffung eines Reisepasses sei den Beschwerdeführerinnen deshalb trotz ihrer diesbezüglichen Bemühungen auch auf diesem Weg verwehrt (BVGer-act. 1). In ihrer Replik und Triplik ergänzten sie, dass nicht nur die Schweiz von den Problemen betreffend Passausstellung betroffen sei, sondern fast sämtliche europäischen Staaten. Es müsse von Problemen fundamentaler Art ausgegangen werden, weshalb nicht mehr von rein organisatorischen Schwierigkeiten gesprochen werden könne. Die Beschwerdeführerinnen treffe an der «Unfähigkeit» der irakischen Behörden betreffend die Ausstellung der entsprechenden Dokumente keine Schuld (BVGer-act. 10; 14).</w:t>
      </w:r>
    </w:p>
    <w:p>
      <w:r>
        <w:rPr>
          <w:b/>
        </w:rPr>
        <w:t>E. 7.1</w:t>
      </w:r>
    </w:p>
    <w:p>
      <w:r>
        <w:t>Die langjährigen Probleme, welche die in der Schweiz lebenden irakischen Staatsangehörigen bei der Beschaffung heimatlicher Reisedokumente haben, sind gerichtsnotorisch und wurden bereits in einem grundlegenden Urteil vom 27. August 2014 (BVGE 2014/23) aufgezeigt. Dieser Chronologie zufolge galten irakische Staatsangehörigen bis Ende 2004 als schriftenlos; danach konnten sie sich ab 2005 vorübergehend irakische Reisepapiere über ihre Vertretung in Bern beschaffen. Anschliessend führten dortige administrative und technische Umstellungen jedoch dazu, dass der Erhalt neuer Pässe gar nicht bzw. nur unter grossen Schwierigkeiten ermöglicht wurde. So scheiterte die zwischenzeitlich angekündigte Passausstellung durch die irakische Botschaft in Paris oftmals daran, dass die Ausstellung der dafür benötigten Unterlagen durch die Vertretung in Bern erheblich verzögert wurde, oder auch daran, dass die Betroffenen an der Grenze zu Frankreich zurückgewiesen oder festgenommen wurden. Anlässlich eines Treffens des damaligen Bundesamtes für Migration (BFM; heute SEM) mit der Botschaft anfangs 2012 wurde zwar zugesichert, dass ab Mai 2012 in Bern flächendeckend irakische Pässe ausgestellt würden. Diese Zusicherung wurde jedoch beim nächsten Treffen vom Februar 2014 wieder zurückgezogen (vgl. Urteil des BVGer F-386/2018 vom 23. August 2019 E. 5.2 m.H.).</w:t>
      </w:r>
    </w:p>
    <w:p>
      <w:r>
        <w:rPr>
          <w:b/>
        </w:rPr>
        <w:t>E. 7.2</w:t>
      </w:r>
    </w:p>
    <w:p>
      <w:r>
        <w:t>Die Situation von irakischen Staatsangehörigen, welche sich bei ihren Heimatbehörden um Pässe oder Identitätsausweise bemühen, hat sich seither nicht verbessert und ist geprägt von Unklarheiten und wechselnden Zuständigkeiten. So haben laut einer Auskunft der Botschaft vom 11. Februar 2018 in der Schweiz lebende irakische Staatsangehörige ihre Anträge auf Passausstellung beim irakischen Konsulat in Frankfurt einzureichen (vgl. Urteil des BVGer F-386/2018 E. 5.3 m.H.). Mit zwei Bestätigungen der Botschaft vom 25. Juni 2018 wurde den Beschwerdeführerinnen mitgeteilt, dass die Beschwerdeführerin 2 nicht im irakischen Zivilstandsregister verzeichnet sei und dass sie beide einen Antrag auf Ausstellung eines Passes der Serie A und einer irakischen Identitätskarte zurzeit nur im Irak stellen könnten, wobei sie zur Erfassung der biometrischen Daten persönlich anwesend sein müssten. Angaben über eine mögliche Passbeschaffung in Europa macht die Botschaft hingegen keine. Am 17. Oktober 2018 hielt schliesslich auch das SEM fest, Abklärungen bei der Botschaft sowie beim Aussenministerium in Bagdad vom Juli 2018 hätten ergeben, dass die Passausstellung in Europa zurzeit aus organisatorischen Gründen eingeschränkt sei (vgl. E. 7.1; siehe auch Urteil des BVGer F-4960/2018 vom 9. Dezember 2019 E. 5.2).</w:t>
      </w:r>
    </w:p>
    <w:p>
      <w:r>
        <w:rPr>
          <w:b/>
        </w:rPr>
        <w:t>E. 7.3</w:t>
      </w:r>
    </w:p>
    <w:p>
      <w:r>
        <w:t>Die Vorinstanz schliesst daraus, die Probleme im Zusammenhang mit der Passbeschaffung via Botschaft seien organisatorisch bedingt, was jedoch keine Schriftenlosigkeit zu begründen vermöge. Allerdings ist gerade angesichts der langjährigen Probleme bei der Passbeschaffung nicht erklärbar, wie die Beschwerdeführerinnen in den Besitz einer mit biometrischen Daten versehenen Identitätskarte gelangen sollen, denn nachweislich verfügt die Botschaft über keine Biometriestation (vgl. BVGE 2014/23 E. 5.3.8). Folglich hat die Vorinstanz aufzuzeigen, wo und wie die Beschwerdeführerinnen, denen eine Reise in den Irak nicht zuzumuten ist, die benötigten Dokumente und in der Folge irakischen Pässe erhältlich machen können. Die Beantwortung der Frage nach der Schriftenlosigkeit der Beschwerdeführerinnen ist erst im Anschluss daran möglich; in die entsprechenden Überlegungen miteinzubeziehen sind sowohl die durch die irakischen Behörden verursachten Verzögerungen als auch die Einschränkungen des Privat- und Familienlebens, welche gesamthaft betrachtet einen Eingriff in fremde Passhoheit rechtfertigen könnten (vgl. BVGE 2014/23 E. 5.5 und 5.9).</w:t>
      </w:r>
    </w:p>
    <w:p>
      <w:r>
        <w:rPr>
          <w:b/>
        </w:rPr>
        <w:t>E. 8</w:t>
      </w:r>
    </w:p>
    <w:p>
      <w:r>
        <w:t>Die angefochtene Verfügung vom 17. Oktober 2018 ist folglich aufzuheben und die Sache zur vollständigen Sachverhaltsabklärung sowie zu neuem Entscheid an die Vorinstanz zurückzuweisen.</w:t>
      </w:r>
    </w:p>
    <w:p>
      <w:r>
        <w:rPr>
          <w:b/>
        </w:rPr>
        <w:t>E. 9</w:t>
      </w:r>
    </w:p>
    <w:p>
      <w:r>
        <w:t>Bei diesem Ausgang des Verfahrens sind keine Kosten aufzuerlegen (vgl. Art. 63 Abs. 1 und Abs. 2 VwVG) und den Beschwerdeführerinnen ist der geleistete Kostenvorschuss zurückzuerstatten. Für die ihnen im Verfahren vor dem Bundesverwaltungsgericht erwachsenen notwendigen Kosten ist den Beschwerdeführerinnen eine Parteientschädigung zuzusprechen (Art. 64 Abs. 1 und Abs. 2 VwVG i.V.m. Art. 7 Abs. 1 und Art. 8 des Reglements vom 21. Februar 2008 über die Kosten und Entschädigungen vor dem Bundesverwaltungsgericht [VGKE, SR 173.320.2]). Diese ist auf Grundlage der Akten festzulegen, da keine Kostennote vorliegt (vgl. Art. 14 Abs. 1 und 2 VGKE), und in Berücksichtigung der Notwendigkeit der Eingaben sowie der Schwierigkeit der Streitsache in rechtlicher und tatsächlicher Hinsicht auf Fr. 2'500.-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