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F-6425/2015 vom 18. Juli 2016</w:t>
      </w:r>
    </w:p>
    <w:p>
      <w:r>
        <w:t>Bundesverwaltungsgericht, 2016-07-18, FR</w:t>
      </w:r>
    </w:p>
    <w:p>
      <w:r>
        <w:rPr>
          <w:b/>
        </w:rPr>
        <w:t xml:space="preserve">Quelle: </w:t>
      </w:r>
      <w:r>
        <w:t>https://mcp.opencaselaw.ch/entscheid/bvger_F-6425_2015</w:t>
      </w:r>
    </w:p>
    <w:p>
      <w:r>
        <w:t>FR: TAF F-6425/2015 du 18 juillet 2016</w:t>
      </w:r>
    </w:p>
    <w:p>
      <w:r>
        <w:t>IT: TAF F-6425/2015 del 18 luglio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ch. 2.2; voir également: ATF 135 II 1 consid. 1.1 et les ATAF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4.3</w:t>
      </w:r>
    </w:p>
    <w:p>
      <w:r>
        <w:t>S'agissant des conditions d'entrée en Suisse pour un séjour n'excédant pas 90 jours, l'art. 2 al. 1 OEV,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w:t>
      </w:r>
    </w:p>
    <w:p>
      <w:r>
        <w:rPr>
          <w:b/>
        </w:rPr>
        <w:t>E. 4.4</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4.5</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4.6</w:t>
      </w:r>
    </w:p>
    <w:p>
      <w:r>
        <w:t>Le Règlement (CE) no 539/2001 du Conseil du 15 mars 2001 (JO L 81 du 21 mars 2001, p.1-7) différencie, en son art. 1 par. 1 et 2, les ressortissants des Etats tiers selon qu'ils sont soumis ou non à l'obligation du visa. En tant que ressortissant marocain, B._______ est soumis à l'obligation du visa. 5.1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5.2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l'autorité intimée a refusé d'autoriser l'entrée en Suisse de B._______ au motif que son départ à l'échéance du visa sollicité ne pouvait être considéré comme suffisamment garanti.</w:t>
      </w:r>
    </w:p>
    <w:p>
      <w:r>
        <w:rPr>
          <w:b/>
        </w:rPr>
        <w:t>E. 6.1</w:t>
      </w:r>
    </w:p>
    <w:p>
      <w:r>
        <w:t>In casu le Tribunal ne saurait d'emblée écarter les craintes émises par l'autorité inti­mée, du fait notamment de la situation qui prévaut au Maroc sur le plan social et économique. Il convient en effet de prendre en considération la qualité de vie et les conditions économiques et sociales difficiles que connaît l'ensemble de la population au Maroc, pays dont le produit intérieur brut (PIB) par habitant était estimé à 2'900 , en 2015, et dont l'économie reste peu développée. En effet, malgré les réformes initiées ces dernières années par le gouvernement pour lutter contre la pauvreté et le sous-emploi, l'économie marocaine reste fragile et tributaire des résultats agricoles ainsi que de la demande mondiale. Le taux de chômage s'élève à 9,9%. Il touche particulièrement les jeunes urbains et atteint près de 20 % chez les plus jeunes (15-24 ans) (cf. Ministère français des affaires étrangères, France Diplomatie, http://www.diplomatie.gouv.fr, Présentation du Maroc Données générales, mise à jour le 1er avril 2016, consulté en juillet 2016). Par ailleurs, du point de vue social, l'indice de développement humain (IDH) 2015, qui prend en compte la santé, l'éducation et le niveau de vie, classe le Maroc en 126ème position sur 188 pays (voir le site internet des rapports sur le développement humain du Programme des Nations Unies pour le développement [HDR UNDP]: http//www.hdr.undp.org &gt; Human Development Report 2015, consulté en juillet 2016).</w:t>
      </w:r>
    </w:p>
    <w:p>
      <w:r>
        <w:rPr>
          <w:b/>
        </w:rPr>
        <w:t>E. 6.2</w:t>
      </w:r>
    </w:p>
    <w:p>
      <w:r>
        <w:t>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w:t>
      </w:r>
    </w:p>
    <w:p>
      <w:r>
        <w:rPr>
          <w:b/>
        </w:rPr>
        <w:t>E. 6.3</w:t>
      </w:r>
    </w:p>
    <w:p>
      <w:r>
        <w:t>Il convient dès lors d'examiner si la situation familiale, personnelle, professionnelle et patrimoniale de B._______ plaide en faveur de sa sortie ponctuelle respectivement de Suisse et de l'Espace Schengen, au terme du séjour envisagé.</w:t>
      </w:r>
    </w:p>
    <w:p>
      <w:r>
        <w:rPr>
          <w:b/>
        </w:rPr>
        <w:t>E. 6.3.1</w:t>
      </w:r>
    </w:p>
    <w:p>
      <w:r>
        <w:t>En l'occurrence, il ressort des indications du dossier que B._______, âgé actuellement de vingt ans, est célibataire, de sorte qu'il serait à même de se créer une nouvelle existence hors du Maroc sans que cela n'entraîne pour lui de difficultés sur le plan familial. Même si l'invité a de la famille (parents)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le Maroc et au vu de la situation personnelle de l'intéressé, suffire toutefois, à eux seuls, à garantir son retour dans cet Etat, cela d'autant moins qu'il dispose d'un réseau social préexistant en Suisse.</w:t>
      </w:r>
    </w:p>
    <w:p>
      <w:r>
        <w:rPr>
          <w:b/>
        </w:rPr>
        <w:t>E. 6.3.2</w:t>
      </w:r>
    </w:p>
    <w:p>
      <w:r>
        <w:t>Certes, le recourant assure dans son pourvoi que B._______ n'a aucunement l'intention de demeurer en Suisse à l'issue du séjour projeté, cela d'autant moins que le prénommé étudie le français à la faculté des lettres et sciences humaines de Saïs Fès et que ses parents le prennent en charge financièrement. Cependant, on ne décèle aucun élément dans le dossier permettant de conclure que la situation matérielle du prénommé se trouverait péjorée si celui-ci devait entreprendre le même type de formation en Suisse. Dans ce contexte et compte tenu du niveau de vie sensiblement plus élevé que présente la Suisse, notamment s'agissant des conditions offertes quant aux possibilités d'y poursuivre des études, les autorités helvétiques ne peuvent donc totalement exclure que l'intéressé ne s'efforce, une fois entré en ce pays, d'obtenir un titre de séjour dans l'espoir d'y trouver, fût-ce de manière temporaire, des conditions meilleures que celles rencontrées dans son pays d'origine, malgré les assurances contraires qui ont été données dans le cadre du recours. Il ne faut pas perdre de vue en effet que cette différence de niveau de vie peut s'avérer déterminante lorsqu'on prend la décision de quitter sa patrie.</w:t>
      </w:r>
    </w:p>
    <w:p>
      <w:r>
        <w:rPr>
          <w:b/>
        </w:rPr>
        <w:t>E. 6.3.3</w:t>
      </w:r>
    </w:p>
    <w:p>
      <w:r>
        <w:t>Sur un autre plan, il ressort de l'opposition du 24 août 2015 que la mère de B._______ a récemment obtenu un visa pour un séjour de visite auprès de son frère à Fribourg. Cela étant, l'intéressé ne peut rien inférer de ces circonstances, car il convient de relever que chaque demande fait l'objet d'un examen individuel et que la situation personnelle de B._______, comme mentionné ci-dessus, ne permet manifestement pas de délivrer un visa.</w:t>
      </w:r>
    </w:p>
    <w:p>
      <w:r>
        <w:rPr>
          <w:b/>
        </w:rPr>
        <w:t>E. 7</w:t>
      </w:r>
    </w:p>
    <w:p>
      <w:r>
        <w:t>Le Tribunal relève par ailleurs que le désir exprimé par l'invité, au demeurant parfaitement compréhensible, de rendre visite aux membres de sa famille résidant en Suisse, ne constitue pas à lui seul un motif justifiant l'octroi d'un visa en sa faveur, à propos duquel il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seule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9.1</w:t>
      </w:r>
    </w:p>
    <w:p>
      <w:r>
        <w:t>Cela étant, il convient de relever qu'un refus d'autorisation d'entrée dans l'Espace Schengen prononcé par les autorités helvétiques n'a pas en l'occurrence pour conséquence d'empêcher les intéressés de se voir, chaque année A._______ et ses enfants se rendant au Maroc pour des visites familiales (recours du 16 octobre 2015).</w:t>
      </w:r>
    </w:p>
    <w:p>
      <w:r>
        <w:rPr>
          <w:b/>
        </w:rPr>
        <w:t>E. 9.2</w:t>
      </w:r>
    </w:p>
    <w:p>
      <w:r>
        <w:t>Enfin, le recourant n'a pas invoqué de raisons susceptibles de justifier la délivrance d'un visa à validité territoriale limitée (cf. consid. 4.5 ci-avant).</w:t>
      </w:r>
    </w:p>
    <w:p>
      <w:r>
        <w:rPr>
          <w:b/>
        </w:rPr>
        <w:t>E. 10</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l'intéressé quittera la Suisse dans le délai fixé n'étant pas remplies in casu, c'est donc de manière fondée que l'autorité de première instance a écarté l'opposition du 24 août 2015 et confirmé le refus d'octroyer au prénommé une autorisation d'entrée dans l'Espace Schengen.</w:t>
      </w:r>
    </w:p>
    <w:p>
      <w:r>
        <w:rPr>
          <w:b/>
        </w:rPr>
        <w:t>E. 11</w:t>
      </w:r>
    </w:p>
    <w:p>
      <w:r>
        <w:t>Il s'ensuit que, par sa décision du 24 septembre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