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F-640/2023 vom 13. Februar 2023</w:t>
      </w:r>
    </w:p>
    <w:p>
      <w:r>
        <w:t>Bundesverwaltungsgericht, 2023-02-13, DE</w:t>
      </w:r>
    </w:p>
    <w:p>
      <w:r>
        <w:rPr>
          <w:b/>
        </w:rPr>
        <w:t xml:space="preserve">Quelle: </w:t>
      </w:r>
      <w:r>
        <w:t>https://mcp.opencaselaw.ch/entscheid/bvger_F-640_2023</w:t>
      </w:r>
    </w:p>
    <w:p>
      <w:r>
        <w:t>FR: TAF F-640/2023 du 13 février 2023</w:t>
      </w:r>
    </w:p>
    <w:p>
      <w:r>
        <w:t>IT: TAF F-640/2023 del 13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4.1.1</w:t>
      </w:r>
    </w:p>
    <w:p>
      <w:r>
        <w:t>In verfahrensrechtlicher Hinsicht rügt die Beschwerdeführerin, die Vorinstanz habe die Gefahr, der sie in Kroatien ausgesetzt wäre, nicht individuell geprüft. Es sei lediglich in Form einer Standardformulierung erwähnt worden, dass Kroatien den Anforderungen an ein faires Verfahren entspreche. Damit habe die Vorinstanz den Anspruch der Beschwerdeführerin auf rechtliches Gehör in Form der Begründungspflicht verletzt.</w:t>
      </w:r>
    </w:p>
    <w:p>
      <w:r>
        <w:rPr>
          <w:b/>
        </w:rPr>
        <w:t>E. 4.1.2</w:t>
      </w:r>
    </w:p>
    <w:p>
      <w:r>
        <w:t>Der Anspruch auf rechtliches Gehör nach Art. 29 Abs. 2 BV umfasst alle Befugnisse, die einer Partei einzuräumen sind, damit sie in einem Verfahren ihren Standpunkt wirksam zur Geltung bringen kann (BGE 144 II 427 E. 3.1). Dazu gehört die Pflicht der Behörde, ihren Entscheid ausreichend und nachvollziehbar zu begründen (BGE 145 IV 99 E. 3.1; BVGE 2016/9 E. 5; Art. 35 Abs. 1 VwVG). Die Begründung muss so abgefasst sein, dass die betroffene Person den Entscheid in voller Kenntnis der Sache an die höhere Instanz weiterziehen kann. Nicht erforderlich ist, dass sich die Behörde mit allen Parteistandpunkten einlässlich auseinandersetzt und jedes einzelne Vorbringen ausdrücklich widerlegt (BGE 143 III 65 E. 5.2).</w:t>
      </w:r>
    </w:p>
    <w:p>
      <w:r>
        <w:rPr>
          <w:b/>
        </w:rPr>
        <w:t>E. 4.1.3</w:t>
      </w:r>
    </w:p>
    <w:p>
      <w:r>
        <w:t>Eine Durchsicht der Akten ergibt, dass die Vorinstanz die von der Beschwerdeführerin vorgetragenen Erlebnisse in Kroatien in die Entscheidfindung hat einfliessen lassen und in der angefochtenen Verfügung eine adäquate Einzelfallprüfung vorgenommen hat. Das SEM hat sich insbesondere mit der generellen Situation von Dublin-Rückkehrenden in Kroatien auseinandergesetzt und seine Überlegungen hinsichtlich der Frage des Vorliegens von Überstellungshindernissen dargelegt. Die angefochtene Verfügung ist so abgefasst, dass die Beschwerdeführerin sich über die Tragweite des Entscheids ein Bild machen konnte und es ihr möglich war, diesen sachgerecht anzufechten. Ob die Beweiswürdigung sowie die Lageeinschätzung des SEM zutreffend sind, betrifft nicht das rechtliche Gehör, sondern ist eine Frage der rechtlichen Würdigung der Sache.</w:t>
      </w:r>
    </w:p>
    <w:p>
      <w:r>
        <w:rPr>
          <w:b/>
        </w:rPr>
        <w:t>E. 4.2</w:t>
      </w:r>
    </w:p>
    <w:p>
      <w:r>
        <w:t>Die Beschwerdeführerin wirft dem SEM weiter eine nicht hinreichende Abklärung bezüglich systemischer Schwachstellen im Asylverfahren und den Aufnahmebedingungen Kroatiens vor. Entgegen diesen Vorbringen hat sich die Vorinstanz hinreichend mit der aktuellen Situation für Dublin-Rückkehrende in Kroatien auseinandergesetzt. Dass die Beschwerdeführerin die Auffassung des SEM im Ergebnis nicht teilt, beschlägt weder die Begründungspflicht als Teilgehalt des rechtlichen Gehörs noch den Untersuchungsgrundsatz nach Art. 12 VwVG.</w:t>
      </w:r>
    </w:p>
    <w:p>
      <w:r>
        <w:rPr>
          <w:b/>
        </w:rPr>
        <w:t>E. 4.3</w:t>
      </w:r>
    </w:p>
    <w:p>
      <w:r>
        <w:t>Die formellen Rügen erweisen sich als unbegründet. Es besteht keine Veranlassung, die angefochtene Verfügung aufzuheben und die Sache an die Vorinstanz zurückzuweisen. Das entsprechende 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mehr statt.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EU:C:2019:280, Rn. 47-50; BVGE 2019 VI/7 E. 4-6, 2017 VI/5 E. 6.2 und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5.4</w:t>
      </w:r>
    </w:p>
    <w:p>
      <w:r>
        <w:t>Ein Eurodac-Abgleich ergab, dass die Beschwerdeführerin am 25. November 2022 in Kroatien ein Asylgesuch gestellt hatte. Das SEM ersuchte deshalb die kroatischen Behörden am 6. Januar 2023 um ihre Wiederaufnahme. Nachdem die kroatischen Behörden dem Gesuch gestützt auf Art. 20 Abs. 5 Dublin-III-VO innert der in Art. 25 Abs. 1 Dublin-III-VO festgelegten Frist zugestimmt haben, ist die Zuständigkeit Kroatiens grundsätzlich gegeben. Daran vermag das Vorbringen der Beschwerdeführerin, sie sei in Kroatien zur Abgabe ihrer Fingerabdrücke gezwungen worden, nichts zu ändern. Einerseits dürfen die schweizerischen Behörden grundsätzlich darauf vertrauen, dass die Einträge in der Eurodac-Datenbank korrekt sind. Andererseits sieht das Gericht nicht ein, wieso die kroatischen Behörden diesbezüglich falsche Angaben machen würden (vgl. Urteile des BVGer F-2134/2020 vom 29. April 2020; E-2222/2017 vom 20. April 2017 S. 6; F-3426/2022 vom 20. Dezember 2022 E. 4.5.2).</w:t>
      </w:r>
    </w:p>
    <w:p>
      <w:r>
        <w:rPr>
          <w:b/>
        </w:rPr>
        <w:t>E. 6.1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EU-Grundrechte-charta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dass Kroatien die Rechte, die sich für Schutzsuchende aus den einschlägigen europäischen Richtlinien ergeben, nämlich die sogenannte Verfahrensrichtlinie und die sogenannte Aufnahmerichtlinie, anerkennt und schützt (vollständige Referenzen: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Die Vorinstanz hat zutreffend dargelegt, dass aktuell, auch unter Würdigung von kritischen Berichten nationaler und internationaler Organisationen bezüglich des kroatischen Asylverfahrens, im Bereich der Wiederaufnahmeverfahren keine hinreichenden Gründe für die Annahme vorliegen, das Asylverfahren und die Aufnahmebedingungen für Antragstellende in Kroatien würden systemische Schwachstellen im Sinn von Art. 3 Abs. 2 zweiter und dritter Satz Dublin-III-VO aufweisen (vgl. dazu etwa die Urteile des BVGer D-5422/2022 vom 23. Januar 2023 E. 8.2; E-4754/2022 vom 18. Januar 2023 E. 7.2 und E-5984/2022 vom 3. Januar 2023 E. 7.2, je mit weiteren Hinweisen).</w:t>
      </w:r>
    </w:p>
    <w:p>
      <w:r>
        <w:rPr>
          <w:b/>
        </w:rPr>
        <w:t>E. 6.3</w:t>
      </w:r>
    </w:p>
    <w:p>
      <w:r>
        <w:t>Auch unter Berücksichtigung der von der Beschwerdeführerin anlässlich des Dublin-Gesprächs vom 6. Januar 2023 geschilderten und in der Beschwerdeschrift wiederholten Erlebnisse mit Polizeibeamten während ihres Aufenthalts in Kroatien ist nicht davon auszugehen, Kroatien verstosse systematisch gegen seine vertraglichen Verpflichtungen. Die Vorbringen der Beschwerdeführerin bleiben unbelegt und rechtfertigen die Annahme nicht, dass sie bei einer Rückkehr mit hoher Wahrscheinlichkeit Opfer einer unmenschlichen oder erniedrigenden Behandlung im Sinn von Art. 3 EMRK, Art. 3 FoK oder Art. 4 EU-Grundrechtecharta wird. Bei allfälligem Fehlverhalten einzelner Polizeibeamter oder Privatpersonen kann sie sich - nötigenfalls mit Hilfe der vor Ort tätigen karitativen Organisationen - an die zuständigen kroatischen Stellen wenden. Der Umstand, dass solche Schritte allenfalls mit grösseren Schwierigkeiten als in der Schweiz verbunden sind, vermag noch keine systemischen Schwachstellen im kroatischen Asyl- und Aufnahmeverfahren zu begründen (vgl. Urteile des BVGer D-6074/2022 vom 10. Januar 2023 E. 9.1.2 und E-5614/2022 vom 19. Dezember 2022 E. 5.2).</w:t>
      </w:r>
    </w:p>
    <w:p>
      <w:r>
        <w:rPr>
          <w:b/>
        </w:rPr>
        <w:t>E. 6.4</w:t>
      </w:r>
    </w:p>
    <w:p>
      <w:r>
        <w:t>In der Beschwerdebegründung und in den von der Beschwerdeführerin zitierten Berichten werden insbesondere die sogenannten Push-backs thematisiert. Wie in der angefochtenen Verfügung zutreffend festgestellt wird, stehen solche Ereignisse in Zusammenhang mit illegalen Einreisen nach Kroatien, insbesondere von Bosnien und Herzegowina sowie von Serbien aus. Sie betreffen demnach die Aussengrenzen Kroatiens. Damit ist nichts zur vorliegend interessierenden Situation der Rückkehr nach Kroatien nach Durchlaufen eines Dublin-Verfahrens gesagt (vgl. Urteil des BVGer D-5299/2022 vom 30. November 2022 E. 6.2). Die Vorinstanz hat eine Einzelfallprüfung vorgenommen und ist unter Verweis auf Abklärungen durch die Schweizer Botschaft in Kroatien nachvollziehbar zum Schluss gekommen, dass Personen, welche im Rahmen eines Dublin-Verfahrens nach Kroatien zurückgeführt werden, nicht von der problematischen Push-back-Praxis betroffen sind. Die von der Beschwerdeführerin zitierten Quellen und der Verweis auf die Rechtsprechung deutscher Gerichte vermögen keine andere Einschätzung zu rechtfertigen. Das von ihr angeführte Urteil des BVGer F-5675/2021 vom 6. Januar 2022 ist nicht einschlägig, da dieses sich auf eine sog. «take charge» und nicht - wie vorliegend - eine «take back» Konstellation bezog.</w:t>
      </w:r>
    </w:p>
    <w:p>
      <w:r>
        <w:rPr>
          <w:b/>
        </w:rPr>
        <w:t>E. 6.5</w:t>
      </w:r>
    </w:p>
    <w:p>
      <w:r>
        <w:t>An diesen Feststellungen vermag schliesslich das Vorbringen der Beschwerdeführerin, die kroatischen Behörden hätten sie nicht in einer ihr verständlichen Sprache schriftlich über alle Aspekte des Asylverfahrens informiert, nichts zu ändern. Sofern zutreffend dürfte dies auch damit zu tun haben, dass sie sich lediglich während rund drei Tagen in Kroatien aufgehalten zu haben scheint.</w:t>
      </w:r>
    </w:p>
    <w:p>
      <w:r>
        <w:rPr>
          <w:b/>
        </w:rPr>
        <w:t>E. 6.6</w:t>
      </w:r>
    </w:p>
    <w:p>
      <w:r>
        <w:t>Die Anwendung von Art. 3 Abs. 2 Dublin-III-VO ist nach dem Ausgeführten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Die Beschwerdeführerin hat kein konkretes und ernsthaftes Risiko dargetan, dass die kroatischen Behörden sich weigern würden, sie wieder aufzunehmen und ihren Antrag auf internationalen Schutz unter Einhaltung der Regeln der Verfahrensrichtlinie zu prüfen. Den Akten sind denn auch keine stichhaltigen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Auch unter Berücksichtigung der von ihr vorgebrachten Übergriffe während ihres Aufenthalts in Kroatien besteht kein Grund zur Annahme, die sie bei einer Rückführung erwartenden Bedingungen in Kroatien seien derart schlecht, dass sie zu einer Verletzung von Art. 4 der EU-Grundrechtecharta, Art. 3 EMRK oder Art. 3 FoK führen könnten. Weiter hat sie keine konkreten Hinweise für die Annahme dargetan, Kroatien würde ihr dauerhaft die ihr gemäss Aufnahmerichtlinie zustehenden minimalen Lebensbedingungen vorenthalten. Bei einer allfälligen vorübergehenden Einschränkung könnte sie sich nötigenfalls an die kroatischen Behörden wenden und die ihr zustehenden Aufnahmebedingungen auf dem Rechtsweg einfordern (vgl. Art. 26 Aufnahmerichtlinie).</w:t>
      </w:r>
    </w:p>
    <w:p>
      <w:r>
        <w:rPr>
          <w:b/>
        </w:rPr>
        <w:t>E. 7.3</w:t>
      </w:r>
    </w:p>
    <w:p>
      <w:r>
        <w:t>Soweit die Beschwerdeführerin sich auf das Übereinkommen zur Beseitigung jeder Form von Diskriminierung der Frau (Convention on the Elimination of All Forms of Discrimination against Women, CEDAW; SR 0.108) beruft, ist darauf hinzuweisen, dass die Normen des Übereinkommens zwar für die völkerrechtskonforme Auslegung des innerstaatlichen Rechts von Bedeutung sind (vgl. BGE 137 I 305 E. 3.2), sich aber in erster Linie an die gesetzgeberischen, politischen und gesellschaftlichen Institutionen der Mitgliedstaaten richtet. Demnach hat sich mit diesem Vorbringen nicht das Gericht, sondern die Legislative, die Politik und die Gesellschaft auseinanderzusetzen (vgl. statt vieler Urteil des BVGer F-4997/2022 vom 10. November 2022 E. 6.3 m.w.H.). Die Beschwerdeführerin kann vorliegend aus dem CEDAW nichts zu ihren Gunsten ableiten.</w:t>
      </w:r>
    </w:p>
    <w:p>
      <w:r>
        <w:rPr>
          <w:b/>
        </w:rPr>
        <w:t>E. 7.4.1</w:t>
      </w:r>
    </w:p>
    <w:p>
      <w:r>
        <w:t>Was den medizinischen Sachverhalt anbelangt, so kann eine zwangsweise Rückweisung von Personen mit gesundheitlichen Problemen nur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7.4.2</w:t>
      </w:r>
    </w:p>
    <w:p>
      <w:r>
        <w:t>Eine solche Situation ist vorliegend nicht gegeben. Die Beschwerdeführerin konnte nicht nachweisen, dass sie nicht reisefähig sei oder eine Überstellung ihre Gesundheit ernsthaft gefährden würde. Ihr Gesundheitszustand - sie bringt vor, Magenbeschwerden, Stress, Migräne und Schlafprobleme zu haben - vermag eine Unzulässigkeit der Überstellung im Sinne der restriktiven Rechtsprechung nicht zu rechtfertigen. Die geltend gemachten gesundheitlichen Probleme sind auch nicht von einer derartigen Schwere, dass aus humanitären Gründen von einer Überstellung abgesehen werden müsste. Kroatien verfügt grundsätzlich über eine ausreichende medizinische Infrastruktur (vgl. statt vieler Urteile des BVGer D-6074/2022 vom 10. Januar 2023 E. 10.2.1.3; E-5671/2022 vom 16. Dezember 2022 E. 7.3.3 und D-5623/2022 vom 12. Dezember 2022 E. 6.2.2) sowie über ein hinreichendes Angebot für psychische Betreuung (vgl. hierzu Urteil BVGer F-1021/2021 vom 16. März 2021 E. 5.2 m.w.H.). Es liegen keine konkreten Hinweise vor, wonach Kroatien der Beschwerdeführerin eine adäquate medizinische Behandlung verweigern und insofern seinen Verpflichtungen im Rahmen der Dublin-III-VO nicht nachkommen würde. Sofern dies im Überstellungszeitpunkt erforderlich wäre, würden die kroatischen Behörden in geeigneter Weise über allfällige medizinische Bedürfnisse und Umstände der Beschwerdeführerin informiert werden (Art. 31 f. Dublin-III-VO). Bei Bedarf können ihr Medikamente auf Vorrat mitgegeben werden.</w:t>
      </w:r>
    </w:p>
    <w:p>
      <w:r>
        <w:rPr>
          <w:b/>
        </w:rPr>
        <w:t>E. 7.5</w:t>
      </w:r>
    </w:p>
    <w:p>
      <w:r>
        <w:t>Nach dem Ausgeführten kann die Beschwerdeführerin kein konkretes und ernsthaftes Risiko dartun, dass ihre Überstellung nach Kroatien die Verletzung völkerrechtlicher Bestimmungen zur Folge hätte. Ausserhalb des Bereichs völkerrechtlicher Vollzugshindernisse kommt der Vorinstanz bei der Anwendung von Art. 29a Abs. 3 AsylV 1 sodann ein Ermessensspielraum zu (vgl. BVGE 2015/9 E. 7 f.). Die angefochtene Verfügung ist unter diesem Blickwinkel nicht zu beanstanden. Das Gericht enthält sich hierzu weiterer Äusserungen.</w:t>
      </w:r>
    </w:p>
    <w:p>
      <w:r>
        <w:rPr>
          <w:b/>
        </w:rPr>
        <w:t>E. 7.6</w:t>
      </w:r>
    </w:p>
    <w:p>
      <w:r>
        <w:t>Es liegt folglich kein Grund für einen Selbsteintritt der Schweiz gemäss Art. 29a Abs. 3 AsylV 1 in Verbindung mit Art. 17 Dublin-III-VO vor. Kroatien bleibt zuständiger Mitgliedstaat gemäss Dublin-III-VO und ist verpflichtet, die Beschwerdeführerin wiederaufzunehmen.</w:t>
      </w:r>
    </w:p>
    <w:p>
      <w:r>
        <w:rPr>
          <w:b/>
        </w:rPr>
        <w:t>E. 8</w:t>
      </w:r>
    </w:p>
    <w:p>
      <w:r>
        <w:t>Die Vorinstanz ist nach dem Ausgeführten zu Recht in Anwendung von Art. 31a Abs. 1 Bst. b AsylG auf das Asylgesuch der Beschwerdeführerin nicht eingetreten und hat die Überstellung nach Kroatien angeordnet. Die Beschwerde ist abzuweisen.</w:t>
      </w:r>
    </w:p>
    <w:p>
      <w:r>
        <w:rPr>
          <w:b/>
        </w:rPr>
        <w:t>E. 9</w:t>
      </w:r>
    </w:p>
    <w:p>
      <w:r>
        <w:t>Der am 3. Februar 2023 verfügte Vollzugsstopp fällt mit dem vorliegenden Urteil dahin. Mit dem Entscheid in der Hauptsache sind sodann die Gesuche um Erteilung der aufschiebenden Wirkung und um Verzicht auf die Erhebung eines Kostenvorschusses gegenstandslos geworden.</w:t>
      </w:r>
    </w:p>
    <w:p>
      <w:r>
        <w:rPr>
          <w:b/>
        </w:rPr>
        <w:t>E. 10.1</w:t>
      </w:r>
    </w:p>
    <w:p>
      <w:r>
        <w:t>Das mit der Beschwerde gestellte Gesuch um Gewährung der unentgeltlichen Prozessführung ist abzuweisen, da die Begehren - wie sich aus den vorstehenden Erwägungen ergibt - als aussichtslos zu bezeichnen waren. Die Voraussetzungen von Art. 65 Abs. 1 VwVG sind nicht gegeben.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