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F-6368/2025 vom 14. Oktober 2025</w:t>
      </w:r>
    </w:p>
    <w:p>
      <w:r>
        <w:t>Bundesverwaltungsgericht, 2025-10-14, DE</w:t>
      </w:r>
    </w:p>
    <w:p>
      <w:r>
        <w:rPr>
          <w:b/>
        </w:rPr>
        <w:t xml:space="preserve">Quelle: </w:t>
      </w:r>
      <w:r>
        <w:t>https://mcp.opencaselaw.ch/entscheid/bvger_F-6368_2025</w:t>
      </w:r>
    </w:p>
    <w:p>
      <w:r>
        <w:t>FR: TAF F-6368/2025 du 14 octobre 2025</w:t>
      </w:r>
    </w:p>
    <w:p>
      <w:r>
        <w:t>IT: TAF F-6368/2025 del 14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Die Beschwerde wurde rechtzeitig eingereicht (Art. 108 Abs. 3 AsylG). Betreffend die übrigen Eintretensvoraussetzungen (Art. 48 Abs. 1 VwVG, Art. 52 VwVG) stellt sich die Frage, ob die Rechtsbegehren des Beschwerdeführers den Anforderungen von Art. 52 Abs. 1 VwVG genügen. Gemäss dieser Bestimmung hat die Beschwerdeschrift unter anderem die Begehren zu enthalten. Diesem Erfordernis ist Genüge getan, wenn aus der Beschwerde zumindest implizit ersichtlich ist, in welchen Punkten die angefochtene Verfügung beanstandet wird (vgl. Andrè Moser, in: Auer/Müller/Schindler [Hrsg.], VwVG-Kommentar, 2. Aufl. 2019, Art. 52 N. 1). Die Vorinstanz hat gestützt auf Art. 31a Abs. 1 Bst. b AsylG i.V.m. Art. 44 AsylG einen Nichteintretens- und Wegweisungsentscheid erlassen. Der Beschwerdeführer benutzte das Beschwerdeformular der Schweizerischen Flüchtlingshilfe (Übersetzung abrufbar unter: https://www.fluechtlingshilfe.ch/hilfe-fuer-schutzsuchende/beschwerdeunterlagen, zuletzt abgerufen am 30. September 2025). Die vorgedruckten Rechtsbegehren zielen auf die Anerkennung der Flüchtlingseigenschaft und die Gewährung von Asyl, subsidiär auf die Gewährung der vorläufigen Aufnahme ab. Die genannten Rechtsbegehren befinden sich somit ausserhalb des Anfechtungsgegenstands und sind folglich unzulässig. Auf sie ist nicht einzutreten. Der Beschwerdeführer handelte jedoch ohne Rechtsvertretung und aus der Beschwerdeschrift ist ersichtlich, dass er sich der Überstellung nach Frankreich widersetzen wollte. Zu seinen Gunsten ist demnach davon auszugehen, dass er nebst der Aufhebung der angefochtenen Verfügung das Eintreten auf sein Asylgesuch beziehungsweise dessen materielle Behandlung beantragen wollte. Dabei handelt es sich um ein zulässiges Rechtsbegehren, zu dessen Erhebung der Beschwerdeführer gemäss Art. 48 Abs. 1 VwVG legitimiert ist. Auf die Beschwerde ist insofern einzutreten.</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in der angefochtenen Verfügung vom 14. August 2025 korrekt erwogen, dass gemäss den Bestimmungen der Dublin-III-VO grundsätzlich Frankreich für die Durchführung des Asyl- und Wegweisungsverfahrens des Beschwerdeführers zuständig ist. Dabei hat sie den Sachverhalt im Sinne der Rückweisung des Bundesverwaltungsgerichts mit Urteil F-4529/2024 vom 13. Januar 2025 mittels Durchführung einer forensischen Altersdiagnostik vollständig festgestellt und gewürdigt. Der Beschwerdeführer hat die Ergebnisse der forensischen Altersdiagnostik anerkannt und macht nicht mehr geltend, minderjährig zu sein. Sie hat sodann zutreffend festgehalten, dass das französische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Die Vorinstanz hat hierbei die Vorbringen des Beschwerdeführers im Hinblick auf seinen Wunsch in der Schweiz bleiben zu wollen sowie seinen Gesundheitszustand (gemäss den ärztlichen Unterlagen: D._______ [SEM-act. 54/1]) berücksichtigt und rechtsprechungskonform gewürdigt. Darüber hinaus hat sie in rechtsfehlerfreier Ausübung des ihr nach Art. 17 Abs. 1 Dublin-III-VO und Art. 29a Abs. 3 der Asylverordnung 1 vom 11. August 1999 (AsylV 1, SR 142.311) zukommenden Ermessens von einem freiwilligen Selbsteintritt der Schweiz abgesehen. Die Vorinstanz ist demnach zu Recht in Anwendung von Art. 31a Abs. 1 Bst. b AsylG auf das Asylgesuch des Beschwerdeführers nicht eingetreten und hat in Anwendung von Art. 44 AsylG seine Wegweisung nach Frankreich angeordnet. Zur näheren Begründung wird auf die korrekten vorinstanzlichen Erwägungen verwiesen.</w:t>
      </w:r>
    </w:p>
    <w:p>
      <w:r>
        <w:rPr>
          <w:b/>
        </w:rPr>
        <w:t>E. 2.2</w:t>
      </w:r>
    </w:p>
    <w:p>
      <w:r>
        <w:t>Was der Beschwerdeführer auf Rechtsmittelebene vorbringt, vermag an der Richtigkeit der vorinstanzlichen Verfügung nichts zu ändern. In der Beschwerdebegründung vom 22. August 2025 führt er zusammenfassend aus, in der Schweiz bleiben zu wollen, da er hierzulande ärztlich versorgt worden sei sowie Unterkunft und Verpflegung erhalten habe. Die persönliche Präferenz des Beschwerdeführers für einen Verbleib in der Schweiz ist indes rechtlich unerheblich (vgl. BVGE 2010/45 E. 8.3).</w:t>
      </w:r>
    </w:p>
    <w:p>
      <w:r>
        <w:rPr>
          <w:b/>
        </w:rPr>
        <w:t>E. 3</w:t>
      </w:r>
    </w:p>
    <w:p>
      <w:r>
        <w:t>Nach dem Gesagten ist die angefochtene Verfügung vom 14. August 2025 nicht zu beanstanden und die Beschwerde ist abzuweisen, soweit darauf einzutreten ist.</w:t>
      </w:r>
    </w:p>
    <w:p>
      <w:r>
        <w:rPr>
          <w:b/>
        </w:rPr>
        <w:t>E. 4</w:t>
      </w:r>
    </w:p>
    <w:p>
      <w:r>
        <w:t>Mit vorliegendem Urteil wird der Antrag auf Gewährung der aufschiebenden Wirkung gegenstandslos und der am 25. August 2025 angeordnete Vollzugsstopp fällt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