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F-6367/2020 vom 5. August 2021</w:t>
      </w:r>
    </w:p>
    <w:p>
      <w:r>
        <w:t>Bundesverwaltungsgericht, 2021-08-05, DE</w:t>
      </w:r>
    </w:p>
    <w:p>
      <w:r>
        <w:rPr>
          <w:b/>
        </w:rPr>
        <w:t xml:space="preserve">Quelle: </w:t>
      </w:r>
      <w:r>
        <w:t>https://mcp.opencaselaw.ch/entscheid/bvger_F-6367_2020</w:t>
      </w:r>
    </w:p>
    <w:p>
      <w:r>
        <w:t>FR: TAF F-6367/2020 du 5 août 2021</w:t>
      </w:r>
    </w:p>
    <w:p>
      <w:r>
        <w:t>IT: TAF F-6367/2020 del 5 agosto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 soweit sie sich gegen die angefochtene Verfügung richtet. Nicht einzutreten ist auf das in der Beschwerdeschrift gestellte Rechtsbegehren 2 («Rückerstattung der eingezogenen Gebühren.»), handelt es sich hierbei doch um ein nicht im Verfahren i.S. Einreiseverbot geleistetes Depositum.</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(BGE 139 II 534 E. 5.4.1; BVGE 2014/1 E. 2 m.H.).</w:t>
      </w:r>
    </w:p>
    <w:p>
      <w:r>
        <w:rPr>
          <w:b/>
        </w:rPr>
        <w:t>E. 3.1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Das SEM wirft der Beschwerdeführerin vor, sich weit über den bewilligungsfreien Aufenthalt hinaus im Schengen-Raum aufgehalten zu haben. Weil ihr gegenüber danach eine sofort vollstreckbare Wegweisung verfügt und sie in Ausschaffungshaft genommen wurde, erachtet die Vorinstanz die Fernhaltegründe von Art. 67 Abs. 1 Bst. a und Art. 67 Abs. 2 Bst. c AIG als erfüllt. Ergänzend verweist sie in der Vernehmlassung hierbei auf den Strafbefehl des Untersuchungsamtes Altstätten vom 5. Januar 2021.</w:t>
      </w:r>
    </w:p>
    <w:p>
      <w:r>
        <w:rPr>
          <w:b/>
        </w:rPr>
        <w:t>E. 4.2</w:t>
      </w:r>
    </w:p>
    <w:p>
      <w:r>
        <w:t>Die Beschwerdeführerin hält - insbesondere unter Vorlage der Stempel in ihrem Reisepass und zweier Einstellungsverfügungen der Staatsanwaltschaft Kempten - dagegen, den visumsfreien Aufenthalt im Schengen-Raum von 90 Tagen innerhalb eines Zeitraums von 180 Tagen nicht überschritten zu haben. Im Rahmen der Aktualisierung des Rechtsmittels reichte sie eine Einstellungsverfügung der Staatsanwaltschaft des Kantons St. Gallen vom 11. Mai 2021 nach.</w:t>
      </w:r>
    </w:p>
    <w:p>
      <w:r>
        <w:rPr>
          <w:b/>
        </w:rPr>
        <w:t>E. 5.1</w:t>
      </w:r>
    </w:p>
    <w:p>
      <w:r>
        <w:t>Die Beschwerdeführerin darf sich als serbische Staatsangehörige während 90 Tagen innerhalb eines Zeitraums von 180 Tagen grundsätzlich bewilligungsfrei im Schengen-Raum bewegen (Art. 20 Abs. 1 SDÜ in der Fassung der Verordnung [EU] Nr. 610/2013 des Europäischen Parlaments und des Rates vom 26. Juni 2013 [ABl. L 182/1 vom 29.06.2013]). Eigener Darstellung zufolge gelangte sie am 9. Februar 2020 in den Schengen-Raum. Diesen verliess sie am 19. Februar 2020 wieder und kehrte in ihre Heimat zurück. Dort blieb sie bis im Sommer, als sie ferienhalber vom 2. Juli 2020 bis 9. Juli 2020 in Kroatien weilte. Am 18. September 2020 reiste sie mit dem Bus über Kroatien in den Schengen-Raum und anschliessend in die Schweiz weiter, wo sie sich bis zum 17. November 2020 aufhielt. Zum Nachweis ihrer Angaben reichte sie Kopien aus ihrem Reisepass mit den entsprechenden Stempeln ein, ergänzt mit einem Busticket, laut welchem sie am 18. September 2020 von der serbischen Stadt X.______ nach Basel reiste (vgl. BVGer act. 1, Beilagen 1 und 2). Daraus ergibt sich für die fragliche Zeitspanne eine Aufenthaltsdauer von 71 Tagen. Die Vorinstanz stützt sich derweil auf ihre im Zusammenhang mit der Kontrolle der deutschen Grenzpolizei vom 17. November 2020 unterbreiteten Unterlagen (Akten der Vorinstanz [SEM act.] 2, pag. 21-39). Darin wird der betreffenden Person zusätzlich ein Aufenthalt im Schengen-Raum vom 20. Februar 2020 bis 30. Juni 2020 (also weitere 132 Tage) zur Last gelegt (siehe Formular «Berechnung Aufenthaltsdauer», unter SEM act. 2, pag. 19). Diese Unterlagen bildeten Grundlage der von den jeweils zuständigen Behörden später erlassenen Massnahmen (Wegweisung, Ausschaffungshaft, Einreiseverbot). In casu stellt sich primär die Frage, ob das SEM zu Recht angenommen hat, die Beschwerdeführerin habe sich zu lange im Schengen-Raum aufgehalten.</w:t>
      </w:r>
    </w:p>
    <w:p>
      <w:r>
        <w:rPr>
          <w:b/>
        </w:rPr>
        <w:t>E. 5.2</w:t>
      </w:r>
    </w:p>
    <w:p>
      <w:r>
        <w:t>Die Vorinstanz nimmt in der Vernehmlassung Bezug auf den Strafbefehl des Untersuchungsamtes Altstätten vom 5. Januar 2021. Dieser Strafbefehl war allerdings nicht rechtskräftig, vielmehr wurde das diesbezügliche Strafverfahren von der Staatsanwaltschaft des Kantons St. Gallen auf Einsprache hin am 11. Mai 2021 eingestellt (BVGer act. 12). Wohl kann ein Einreiseverbot unabhängig von einem Strafverfahren erlassen und grundsätzlich auch dann verhängt werden, wenn ein rechtskräftiges Strafurteil fehlt (vgl. dazu etwa Urteil des BVGer F-3903/2020 vom 14. Mai 2021 E. 5.2.1 m.H.). Die Einstellung des Strafverfahrens hat somit keinen unmittelbaren Einfluss auf das verwaltungsrechtliche Verfahren. Die Grundsätze der Einheit der Rechtsordnung und der Rechtssicherheit gebieten allerdings, dass widersprüchliche Entscheide zwischen Straf- und Administrativbehörden im Rahmen des Möglichen zu vermeiden sind, soweit sie auf den gleichen Tatsachen beruhen (BGE 139 II 95 E. 3.2; 137 I 363 E. 2.3.2; Urteile des BGer 2C_21/2019 vom 14. November 2019 E. 4.2 und 1C_98/2017 vom 2. Juni 2017 E. 2.4; Urteil des BVGer F-7521/2015 vom 20. Dezember 2016 E. 5.5). In diesem Sinne entfernt sich das Bundesverwaltungsgericht grundsätzlich nicht ohne Not von den Feststellungen des Sachverhalts des Strafrichters. Das Gleiche gilt für die rechtliche Würdigung, soweit sie sehr stark von Tatsachen abhängt, die der Strafrichter besser kennt (BGE 104 Ib 358 E. 3).</w:t>
      </w:r>
    </w:p>
    <w:p>
      <w:r>
        <w:rPr>
          <w:b/>
        </w:rPr>
        <w:t>E. 5.3</w:t>
      </w:r>
    </w:p>
    <w:p>
      <w:r>
        <w:t>Die Staatsanwaltschaft des Kantons St. Gallen hat das Strafverfahren gegen die Beschwerdeführerin wegen Widerhandlung gegen das AIG mit Verfügung vom 11. Mai 2021 eingestellt. Sie stützte sich dabei auf Art. 319 Abs. 1 Bst. a der Schweizerischen Strafprozessordnung vom 5. Oktober 2007 (StPO, SR 312.0). In der Einstellungsverfügung führte die Staatsanwaltschaft aus, die Beschwerdeführerin habe angegeben, dass es nicht möglich sei, dass sie sich vom 20. Februar 2020 bis 30. Juni 2020 in der Schweiz aufgehalten zu haben. Auch in den Passkopien figurierten keine entsprechenden Stempel. Zwecks Verifizierung besagter Angaben habe sich die Strafbehörde an die rapportierende Polizeistation gewandt, wo indes keine weiteren Ein- und Ausreisestempel vorhanden gewesen seien. Bei dieser Sachlage könne der Beschwerdeführerin bezüglich rechtswidrigen Aufenthalts (Overstay) kein strafbares Verhalten nachgewiesen werden, weshalb das Strafverfahren gegen sie einzustellen sei.</w:t>
      </w:r>
    </w:p>
    <w:p>
      <w:r>
        <w:rPr>
          <w:b/>
        </w:rPr>
        <w:t>E. 5.4</w:t>
      </w:r>
    </w:p>
    <w:p>
      <w:r>
        <w:t>Das Bundesverwaltungsgericht würdigt die Beweise frei (Art. 40 BZP [SR 273] i.V.m. Art. 19 VwVG; BGE 137 II 266 E. 3.2; 130 II 482 E. 3.2). Die Beschwerdeführerin hat zum Nachweis ihrer Ausführungen Passkopien ins Recht gelegt. Auch ihre Aussagen, welche sie am 17. November 2020 gegenüber der deutschen Grenzkontrollbehörde sowie am 18. November 2020 gegenüber der Kantonspolizei St. Gallen machte (siehe SEM act. 2, pag. 35/36 bzw. act. 5, pag. 99-102), erscheinen zusammen mit dem vorgelegten Busticket plausibel, stimmen mit den Ein- und Ausreisestempeln in ihrem Reisepapier überein und sprechen gegen eine Überschreitung der zulässigen Aufenthaltsdauer. Wie es auf dem Formular «Berechnung Aufenthaltsdauer» zu den zusätzlichen Einträgen kam (Einreise «20/02/2020», Ausreise «30/06/2020) konnte - wie angetönt - nicht mehr verifiziert werden. Hervorzuheben gilt es an dieser Stelle, dass diese beiden Stempel auch auf den Passkopien, welche die Vorinstanz in ihrem Dossier abgelegt hat, nicht vorhanden sind (SEM act. 2, pag. 50-55). Zu ergänzen wäre, dass die deutschen Behörden der Beschwerdeführerin auch einen Aufenthalt vom 3. Juli 2020 bis 8. Juli 2020 anrechneten, wiewohl es sich hierbei um einen Aufenthalt in Kroatien handelte, das nicht zum Schengen-Raum gehört. Schliesslich gilt es sich zu vergegenwärtigen, dass Reisen im Frühjahr 2020 aufgrund der Covid-19-Pandemie nur unter sehr erschwerten Bedingungen möglich waren. Aufgrund dessen und weil die Staatsanwaltschaft des Kantons St. Gallen, anders als die Vor-instanz, bei der rapportierenden Polizeistation weitere Abklärungen tätigte, besteht für das Bundesverwaltungsgericht kein Anlass, von den Erkenntnissen der Strafbehörde abzuweichen. In Würdigung sämtlicher Beweise ist es der Beschwerdeführerin mithin gelungen, glaubhaft darzulegen, dass der für sie zulässige bewilligungsfreie Aufenthalt im Kontrollzeitpunkt am 17. November 2020 noch nicht abgelaufen war. Somit liegt kein Verstoss gegen die öffentliche Sicherheit und Ordnung vor. Damit ist auch den der angefochtenen Verfügung zugrunde liegenden Fernhaltegründen von Art. 67 Abs. 1 Bst. a und Art. 67 Abs. 2 Bst. c AIG die Grundlage entzogen.</w:t>
      </w:r>
    </w:p>
    <w:p>
      <w:r>
        <w:rPr>
          <w:b/>
        </w:rPr>
        <w:t>E. 5.5</w:t>
      </w:r>
    </w:p>
    <w:p>
      <w:r>
        <w:t>Zusammenfassend kann festgehalten werden, dass keine der in Art. 67 AIG festgelegten Voraussetzungen für die Verhängung einer Fernhaltemassnahme erfüllt sind.</w:t>
      </w:r>
    </w:p>
    <w:p>
      <w:r>
        <w:rPr>
          <w:b/>
        </w:rPr>
        <w:t>E. 6</w:t>
      </w:r>
    </w:p>
    <w:p>
      <w:r>
        <w:t>Aus diesen Gründen ergibt sich, dass die angefochtene Verfügung bundesrechtswidrig ist (Art. 49 Bst. a VwVG). Die Beschwerde ist daher gutzuheissen.</w:t>
      </w:r>
    </w:p>
    <w:p>
      <w:r>
        <w:rPr>
          <w:b/>
        </w:rPr>
        <w:t>E. 7</w:t>
      </w:r>
    </w:p>
    <w:p>
      <w:r>
        <w:t>Bei diesem Ausgang des Verfahrens sind weder der Beschwerdeführerin noch der Vorinstanz Kosten aufzuerlegen (Art. 63 Abs. 1 und 2 VwVG). Eine Parteientschädigung ist nicht zuzusprechen, da der nicht anwaltlich vertretenen Beschwerdeführerin keine verhältnismässig hohen Kosten erwachsen sind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