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F-6364/2016 vom 27. August 2018</w:t>
      </w:r>
    </w:p>
    <w:p>
      <w:r>
        <w:t>Bundesverwaltungsgericht, 2018-08-27, DE</w:t>
      </w:r>
    </w:p>
    <w:p>
      <w:r>
        <w:rPr>
          <w:b/>
        </w:rPr>
        <w:t xml:space="preserve">Quelle: </w:t>
      </w:r>
      <w:r>
        <w:t>https://mcp.opencaselaw.ch/entscheid/bvger_F-6364_2016</w:t>
      </w:r>
    </w:p>
    <w:p>
      <w:r>
        <w:t>FR: TAF F-6364/2016 du 27 août 2018</w:t>
      </w:r>
    </w:p>
    <w:p>
      <w:r>
        <w:t>IT: TAF F-6364/2016 del 27 agosto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Der Beschwerdeführer beanstandet die angefochtene Verfügung zunächst in formeller Hinsicht, indem er eine Verletzung des rechtlichen Gehörs (Art. 29 Abs. 2 BV) geltend macht. Diese ist seiner Ansicht nach darin zu sehen, dass ihm in zeitlicher Nähe zum bevorstehenden Erlass der Verfügung keine Möglichkeit zur Stellungnahme mehr eingeräumt wurde (vgl. Sachverhalt D). Angesichts der Situation, die sich nach seiner Ausreise aus der Schweiz ergab, beanstandet der Beschwerdeführer die unterbliebene vorgängige Anhörung jedoch zu Unrecht. Eigenen Angaben zufolge verliess er die Schweiz am 27. Juni 2016 (vgl. S. 2 der Eingabe vom 18. November 2016); er macht allerdings nicht geltend, dass die Vorinstanz seine neue Wohn-adresse im Ausland gekannt habe oder hätte kennen müssen, sondern nur, dass er auch nach seiner Ausreise anwaltlich vertreten gewesen sei (vgl. S. 1 der Replik vom 6. März 2017). Letzteres ist aus den Akten jedoch nicht ersichtlich und wird vom Beschwerdeführer nicht belegt. Die Vorinstanz musste daher davon ausgehen, dass mit dem bundesgerichtlichen Entscheid vom 29. Februar 2016, der den Widerruf seiner Niederlassungsbewilligung rechtskräftig werden liess, auch die in jenem Verfahren bestehende anwaltliche Vertretung (Rechtsanwältin Dr. Patricia Jucker) beendet war. Abgesehen davon bestand für die Vorinstanz vor Erlass des Einreiseverbots auch keine Veranlassung, sich bei der Ehefrau des Beschwerdeführers nach seiner ausländischen Adresse zu erkundigen, denn erwartungsgemäss hätte diese aufgrund desselben bundesgerichtlichen Entscheids bereits ausgereist sein müssen. Vor diesem Hintergrund und der mit einem dringenden Fernhalteinteresse gegebenen Gefahr im Verzug kann der Vorinstanz nicht vorgeworfen werden, die vorherige Anhörung des Beschwerdeführers unterlassen zu haben (vgl. Art. 30 Abs. 2 Bst. e VwVG; zu den - auch im vorliegenden Fall gegebenen - Voraussetzungen: Bernhard Waldmann/ Jürg Bickel in Waldmann/Weissenberger (Hrsg.), Praxiskommentar VwVG, 2016, Art. 30 N 70 ff.).</w:t>
      </w:r>
    </w:p>
    <w:p>
      <w:r>
        <w:rPr>
          <w:b/>
        </w:rPr>
        <w:t>E. 4.1</w:t>
      </w:r>
    </w:p>
    <w:p>
      <w:r>
        <w:t>Landesrechtliche Grundlage der angefochtenen Verfügung vom 7. Juli 2016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AuG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C-988/2015 vom 29. Oktober 2015 E. 6.2 m.H.).</w:t>
      </w:r>
    </w:p>
    <w:p>
      <w:r>
        <w:rPr>
          <w:b/>
        </w:rPr>
        <w:t>E. 4.3</w:t>
      </w:r>
    </w:p>
    <w:p>
      <w:r>
        <w:t>Wird gegen eine Person, welche nicht die Staatsangehörigkeit eines Mitgliedstaates der Europäischen Union oder der Europäischen Freihandelsassoziation besitzt, ein Einreiseverbot verhängt, so wird sie nach Massgabe der Bedeutung des Falles im Schengener Informationssystem (SIS II) zur Einreiseverweigerung ausgeschrieben (vgl. Art. 21 und Art. 24 SIS II-Verordnung sowie Art. 20 - 22 der Verordnung über den nationalen Teil des Schengener Informationssystems (N-SIS) und das SIRENE-Büro (N-SIS-Verordnung vom 8. März 2013 [SR 362.0]).</w:t>
      </w:r>
    </w:p>
    <w:p>
      <w:r>
        <w:rPr>
          <w:b/>
        </w:rPr>
        <w:t>E. 5.1</w:t>
      </w:r>
    </w:p>
    <w:p>
      <w:r>
        <w:t>Die Vorinstanz begründet das gegen A._______ verhängte Einreiseverbot mit den sich über mehrere Jahre hinziehenden strafrechtlichen Verfehlungen, denen zufolge ihm keine positive Legalprognose gestellt werden könne. Zweifellos stellen die in der angefochtenen Verfügung detailliert aufgeführten Delikte Verstösse gegen die öffentliche Sicherheit und Ordnung dar, was vom Beschwerdeführer auch gar nicht bestritten wird. Seine Behauptung, die Straftaten lägen teilweise lange zurück und seien auch nicht besonders schwerwiegend gewesen, verändert die sich aus der gesetzlichen Vermutung (vgl. E. 4.2 am Ende) ergebende Einschätzung entsprechender künftiger Risiken nicht. Diese Einschätzung kann der Beschwerdeführer auch nicht mit der Behauptung widerlegen, er sei nach der letzten Verurteilung vom 26. Oktober 2011 straflos geblieben: Selbst wenn dies zuträfe, käme damit nicht mehr als sein Bemühen zum Ausdruck, sich im Strafvollzug und während des Rechtsmittelverfahrens nach dem Widerruf der Niederlassungsbewilligung nichts zuschulden kommen zu lassen. Dass der Beschwerdeführer einen Fernhaltegrund im Sinne von Art. 67 Abs. 2 Bst. a AuG gesetzt hat, ist folglich nicht in Abrede zu stellen.</w:t>
      </w:r>
    </w:p>
    <w:p>
      <w:r>
        <w:rPr>
          <w:b/>
        </w:rPr>
        <w:t>E. 5.2</w:t>
      </w:r>
    </w:p>
    <w:p>
      <w:r>
        <w:t>Fernhaltemassnahmen, welche die in Art. 67 Abs. 3 Satz 1 AuG genannte Höchstdauer von fünf Jahren überschreiten, sind - wie oben (E. 4.1) dargelegt - nur dann zulässig, wenn die betroffene Person eine schwerwiegende Gefahr für die öffentliche Sicherheit und Ordnung darstellt. Eine solche Gefahr kann sich aus der Hochwertigkeit der deliktisch bedrohten Rechtsgüter ergeben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Die zu befürchtenden Delikte müssen einzeln oder in ihrer Summe das Potenzial haben, um eine aktuelle und schwerwiegende Gefahr zu begründen (vgl. BGE 139 II 121 E. 6.3; BVGE 2013/4 E. 7.2.4).</w:t>
      </w:r>
    </w:p>
    <w:p>
      <w:r>
        <w:rPr>
          <w:b/>
        </w:rPr>
        <w:t>E. 5.3</w:t>
      </w:r>
    </w:p>
    <w:p>
      <w:r>
        <w:t>Der Vorinstanz zufolge resultiert die vom Beschwerdeführer ausgehende schwerwiegende Gefahr aus der Kontinuität seiner Delikte, die im Zeitraum zwischen August 2003 und Oktober 2011 insgesamt zu acht Verurteilungen führten, sowie der daraus erkennbaren Uneinsichtigkeit. Diese Beurteilung sieht die Vorinstanz auch in den Erwägungen des den Beschwerdeführer betreffenden bundesgerichtlichen Urteils bestätigt (vgl. Vernehmlassung vom 23. Dezember 2016).</w:t>
      </w:r>
    </w:p>
    <w:p>
      <w:r>
        <w:rPr>
          <w:b/>
        </w:rPr>
        <w:t>E. 5.3.1</w:t>
      </w:r>
    </w:p>
    <w:p>
      <w:r>
        <w:t>In den Erwägungen dieses bereits zitierten Urteils (2C_340/2015 E.3.2) hat sich Bundesgericht zu den Straftaten des Beschwerdeführers wie folgt geäussert: "Es kann festgehalten werden, dass der Beschwerdeführer 1 zwischen 2003 und 2011 acht Mal delinquiert hat. Dabei wurde er zu Freiheitsstrafen von insgesamt 16 Monaten, einer Geldstrafe von 120 Tagen zu je Fr. 30.--, 240 Stunden gemeinnütziger Arbeit und verschiedenen Bussen in Höhe von insgesamt Fr. 1'900.-- verurteilt. Bei den Delikten handelt es sich keinesfalls nur um Bagatelldelinquenz, wie die Beschwerdeführer dies implizit behaupten. Der Beschwerdeführer 1 delinquierte nicht nur wiederholt im Betäubungsmittelbereich, sondern wurde auch wegen Gewalt und Drohung gegen Behörden und Beamte sowie Tätlichkeiten und fahrlässiger Körperverletzung verurteilt. Zudem hat er durch das wiederholte Lenken eines Fahrzeugs unter Alkohol- bzw. Drogeneinfluss Leib und Leben anderer Menschen erheblich gefährdet. Es erscheint als blosser Zufall, dass bei den von ihm verübten Strassenverkehrsdelikten bisher keine anderen Verkehrsteilnehmer zu Schaden gekommen sind. Die schwerste und letzte Strafe (Gefängnisstrafe von acht Monaten) wurde 2011 ausgesprochen, nachdem der Beschwerdeführer 1 nur wenige Monate nach einem unter Alkohol- und Drogeneinfluss verursachten Selbstunfall, der mit Entzug des Führerausweises und mit Strafbefehl sanktioniert wurde, wiederum unter Einfluss von Alkohol, Kokain und Marihuana ein entwendetes Auto gefahren hatte. Das Bezirksgericht Zürich ging von einem erheblichen Verschulden des Beschwerdeführers 1 aus. Er habe die Trunkenheitsfahrt vorsätzlich und aus nichtigem Anlass unternommen. Sein Verhalten zeuge von einer erschreckenden Unbelehrbarkeit, gerade was Widerhandlungen gegen das Strassenverkehrsgesetz betreffe. Dem Beschwerdeführer 1 müsse eine Schlechtprognose gestellt werden, weshalb ein bedingter Strafvollzug nicht möglich sei. Weder die verhängten Strafen noch die angesetzten Probezeiten, noch die 2005 und 2006 ausgesprochenen ausländerrechtlichen Verwarnungen, die ihm schwere fremdenpolizeiliche Massnahmen in Aussicht stellten, veranlassten den Beschwerdeführer 1, sein Verhalten zu ändern. Er delinquierte weiter und zudem schwerer, was auf eine beängstigende Gleichgültigkeit und Respektlosigkeit gegenüber der hiesigen Rechtsordnung schliessen lässt. ... ."</w:t>
      </w:r>
    </w:p>
    <w:p>
      <w:r>
        <w:rPr>
          <w:b/>
        </w:rPr>
        <w:t>E. 5.4</w:t>
      </w:r>
    </w:p>
    <w:p>
      <w:r>
        <w:t>Die vom Bundesgericht unter aufenthaltsrechtlichen Aspekten beurteilten Straftaten gehören nicht zur Schwerkriminalität, weshalb erst die trotz zwischenzeitlicher Verwarnungen anhaltende Delinquenz des Beschwerdeführers zum Widerruf seiner Niederlassungsbewilligung führte. Einzeln betrachtet lässt somit keine seiner Straftaten darauf schliessen, dass von ihm eine aktuelle und schwerwiegende Gefahr ausgeht. Die fortdauernde Delinquenz und Ignoranz der tatsächlichen und potentiellen - d.h. Menschenleben betreffenden - Auswirkungen seines Verhalten sprechen jedoch dafür, dass von ihm nach wie vor eine erhebliche Gefährdung ausgeht. Die ihm vom Bundesgericht attestierte beängstigende Gleichgültigkeit und Respektlosigkeit gegenüber der hiesigen Rechtsordnung bedeutet, dass von ihm langfristig keine Verhaltensänderung zu erwarten ist. Angesichts dessen kann sich der Beschwerdeführer nicht darauf berufen, dass einige der in kontinuierlicher Abfolge begangenen Straftaten bereits lange Zeit zurückliegen. Ebenso wenig lässt sich - wie bereits dargelegt - aus dem von ihm behaupteten Wohlverhalten seit der letzten Verurteilung eine positive Legalprognose ableiten (vgl. E. 5.1). Statt dessen ist festzustellen, dass der Beschwerdeführer noch während des Strafvollzugs im Jahr 2013 wegen Rauschmittelkonsums gebüsst wurde und seine Drogensucht offensichtlich während des gesamten Aufenthaltsverfahrens nicht in den Griff bekam (vgl. zitiertes Urteil 2C_340/2015 E. 4.2). Dass er nach der Geburt seiner beiden Kinder 2010 und 2011 einen Sinneswandel erlebt hat und sich künftig um klagloses Verhalten und mehr soziale Verantwortung bemüht, darf zwar geglaubt werden, ist von ihm jedoch noch weiterhin unter Beweis zu stellen.</w:t>
      </w:r>
    </w:p>
    <w:p>
      <w:r>
        <w:rPr>
          <w:b/>
        </w:rPr>
        <w:t>E. 5.5</w:t>
      </w:r>
    </w:p>
    <w:p>
      <w:r>
        <w:t>Damit ist festzuhalten, dass im Falle des Beschwerdeführers von einer schwerwiegenden Gefahr für die öffentliche Sicherheit und Ordnung auszugehen ist und demzufolge die fünfjährige Regelhöchstdauer des Einreiseverbots überschritten werden darf. Vor dem geschilderten strafrechtlichen Hintergrund hat die Vorinstanz das Einreiseverbot auf sechs Jahre befristet.</w:t>
      </w:r>
    </w:p>
    <w:p>
      <w:r>
        <w:rPr>
          <w:b/>
        </w:rPr>
        <w:t>E. 6.1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S. 125).</w:t>
      </w:r>
    </w:p>
    <w:p>
      <w:r>
        <w:rPr>
          <w:b/>
        </w:rPr>
        <w:t>E. 6.2</w:t>
      </w:r>
    </w:p>
    <w:p>
      <w:r>
        <w:t>Die vom Beschwerdeführer ausgehende schwerwiegende Gefahr für die öffentliche Sicherheit und Ordnung spricht für ein grosses öffentliches Interesse an seiner Fernhaltung. Das infolgedessen anzuordnende Einreiseverbot hat vor allem spezialpräventiven Charakter: Während seiner Gültigkeit soll es dem Beschwerdeführer die Möglichkeit nehmen, sein strafbares Verhalten in der Schweiz und im Schengen-Raum fortzusetzen; danach, bei künftigen Wiedereinreisen, soll es ihn von weiteren Verstössen gegen die öffentliche Ordnung und Sicherheit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2C_516/2014 vom 24. März 2015 E. 3.2 m.H.). In diesem Zusammenhang ist festzuhalten, dass Strafrecht und Ausländerrecht unterschiedliche Ziele verfolgen und unabhängig voneinander anzuwenden sind. Während der Strafvollzug neben der Sicherheitsfunktion eine resozialisierende Zielsetzung hat, stellen die Migrationsbehörden die öffentliche Sicherheit und Ordnung in den Vordergrund und wenden bei ihrer Legalprognose einen strengeren und über die strafrechtliche Bewährungsfrist hinausgehenden Massstab an (vgl. BGE 137 II 233 E. 5.2.2). Vor diesem Hintergrund ist das für die Dauer von sechs Jahren verfügte Einreiseverbot - vorbehältlich der noch durchzuführenden Interessenabwägung - prinzipiell nicht zu beanstanden.</w:t>
      </w:r>
    </w:p>
    <w:p>
      <w:r>
        <w:rPr>
          <w:b/>
        </w:rPr>
        <w:t>E. 6.3</w:t>
      </w:r>
    </w:p>
    <w:p>
      <w:r>
        <w:t>Dem öffentlichen Interesse sind die privaten Interessen des Beschwerdeführers gegenüberzustellen. Dieser hat in seiner Rechtsmitteleingabe geltend gemacht, seine Ehefrau habe am 23. Juni 2016 um Erteilung einer Niederlassungsbewilligung ersucht; daher müsse im Falle der Gutheissung des Gesuchs das von Art. 8 EMRK geschützte Recht auf Familienleben berücksichtigt werden und zu einer zeitlichen Reduktion seines Einreiseverbots führen. Das vom Beschwerdeführer ohnehin nur für den Eventualfall geltend gemachte familiäre Interesse besteht jedoch nicht mehr, nachdem seine Ehefrau die Schweiz am 30. November 2016 offiziell verlassen hat (vgl. Sachverhalt I). Ob er noch über weitere Angehörige in der Schweiz verfügt, kann dahingestellt bleiben, da der Schutz des Familienlebens - abgesehen von hier nicht gegebenen Ausnahmen - nur die Mitglieder der Kernfamilie umfasst (vgl. BGE 135 I 143 E. 1.3.2). Im Falle des Beschwerdeführers sind dies lediglich die Ehefrau und die gemeinsamen Kinder, welche - so wie er selbst - aufgrund des bundesgerichtlichen Urteils 2C_340/2015 vom 29. Februar 2016 über kein Aufenthaltsrecht mehr verfügen und ausgereist sind. Sonstige private Interessen, welche sich auf die Dauer des Einreiseverbots auswirken könnten, sind weder dem Beschwerdevorbringen noch dem Akteninhalt zu entnehmen.</w:t>
      </w:r>
    </w:p>
    <w:p>
      <w:r>
        <w:rPr>
          <w:b/>
        </w:rPr>
        <w:t>E. 7</w:t>
      </w:r>
    </w:p>
    <w:p>
      <w:r>
        <w:t>Zusammenfassend ist festzustellen, dass das auf 6 Jahre befristete Einreiseverbot eine verhältnismässige und angemessene Massnahme zum Schutz der öffentlichen Sicherheit und Ordnung darstellt. Die angefochtene Verfügung steht demzufolge im Einklang mit dem Bundesrecht (vgl. Art. 49 VwVG). Die Beschwerde ist daher abzuweisen.</w:t>
      </w:r>
    </w:p>
    <w:p>
      <w:r>
        <w:rPr>
          <w:b/>
        </w:rPr>
        <w:t>E. 8</w:t>
      </w:r>
    </w:p>
    <w:p>
      <w:r>
        <w:t>In der Regel hat die unterliegende Partei die Verfahrenskosten zu tragen (Art. 63 Abs. 1 VwVG). Der Beschwerdeführer, dem die unentgeltliche Prozessführung bewilligt wurde, ist davon jedoch befreit (Art. 65 Abs. 1 VwVG). Dem amtlich bestellten Vertreter des Beschwerdeführers ist eine Entschädigung auszurichten (Art. 65 Abs. 2 VwVG und Art. 12 i.V.m Art. 8-11 des Reglements über die Kosten und Entschädigungen vor dem Bundesverwaltungsgericht vom 21. Februar 2008 [VGKE, SR 173.320.2]). Diese ist angesichts einer fehlenden Kostennote auf Fr. 1'000.-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