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F-6358/2016 vom 30. April 2018</w:t>
      </w:r>
    </w:p>
    <w:p>
      <w:r>
        <w:t>Bundesverwaltungsgericht, 2018-04-30, FR</w:t>
      </w:r>
    </w:p>
    <w:p>
      <w:r>
        <w:rPr>
          <w:b/>
        </w:rPr>
        <w:t xml:space="preserve">Quelle: </w:t>
      </w:r>
      <w:r>
        <w:t>https://mcp.opencaselaw.ch/entscheid/bvger_F-6358_2016</w:t>
      </w:r>
    </w:p>
    <w:p>
      <w:r>
        <w:t>FR: TAF F-6358/2016 du 30 avril 2018</w:t>
      </w:r>
    </w:p>
    <w:p>
      <w:r>
        <w:t>IT: TAF F-6358/2016 del 30 aprile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 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Dans son arrêt, il prend en considération l'état de fait existant au moment où il statue (cf.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de céans constate que les conditions formelles d'annulation de la naturalisation facilitée prévues par l'art. 41 aLN sont réalisées en l'espèce. En effet, la naturalisation facilitée accordée au recourant par décision du 20 avril 2012 a été annulée par l'autorité inférieure le 15 septembre 2016, avec l'assentiment de l'autorité du canton d'origine compétente (cf. art. 41 al. 1 aLN). L'autorité inférieure a eu connaissance des faits déterminants pour engager une procédure d'annulation de la naturalisation facilitée au plus tôt le 10 novembre 2015, date à laquelle les autorités valaisannes ont annoncé au SEM que le recourant s'était remarié avec une jeune ressortissante algérienne. Les délais de prescription (relative et absolue) de l'art. 41 al. 1bis aLN, dans sa teneur en vigueur depuis le 1er mars 2011 (RO 2011 347), ont donc été respectés.</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premier lieu, il sied de vérifier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6.2</w:t>
      </w:r>
    </w:p>
    <w:p>
      <w:r>
        <w:t>Dans le cas particulier, il appert du dossier que le recourant est un ancien requérant d'asile débouté ayant été refoulé dans son pays d'origine en mai 1994, qui est revenu illégalement en Suisse au cours de l'année 1998, année durant laquelle il a contracté mariage une première fois avec une ressortissante suisse au bénéfice d'une rente AI. C'est donc grâce au mariage qu'il a contracté le 19 novembre 1998 avec une citoyenne suisse que l'intéressé a pu obtenir un titre de séjour durable en Suisse. Ce mariage est resté sans enfant. Le 20 mars 2004, il a divorcé pour ensuite rapidement se remarier à une autre ressortissante suisse le 25 mai 2004. Le 1er mars 2011, l'intéressé a présenté une demande de naturalisation facilitée. Par décision du 20 avril 2012 (entrée en force le 22 mai suivant), il a obtenu la nationalité helvétique, après avoir contresigné, en date du 29 février 2012, une déclaration de vie commune confirmant la stabilité du mariage.</w:t>
      </w:r>
    </w:p>
    <w:p>
      <w:r>
        <w:rPr>
          <w:b/>
        </w:rPr>
        <w:t>E. 6.3</w:t>
      </w:r>
    </w:p>
    <w:p>
      <w:r>
        <w:t>Or, il ressort du dossier que, contrairement aux allégations du recourant, l'union des époux n'était plus constitutive d'une communauté conjugale effective et stable lorsque le recourant a contresigné, le 29 février 2012, ladite déclaration concernant la communauté conjugale. Il ressort en particulier des déclarations de l'ex-épouse du recourant, lors de son audition du 12 juin 2016 par le Service des naturalisations du canton de Fribourg, que les époux étaient séparés depuis l'automne 2011, et que, lors de la signature de la déclaration du 29 février 2012, leur communauté conjugale n'était plus stable et tournée vers l'avenir, mais qu'elle avait contresigné ce document « par pragmatisme », dès lors que le couple avait vécu près de 12 années ensemble.</w:t>
      </w:r>
    </w:p>
    <w:p>
      <w:r>
        <w:rPr>
          <w:b/>
        </w:rPr>
        <w:t>E. 6.4</w:t>
      </w:r>
    </w:p>
    <w:p>
      <w:r>
        <w:t>Certes, le recourant a exposé, dans ses déterminations au SEM du 21 juillet 2016 relatives au procès-verbal de l'audition de son ex-épouse, qu'il « n'envisageait pas de se séparer une fois la naturalisation obtenue, mais était persuadé qu'au vu de leur vécu et de leur sentiment la situation allait s'améliorer ». Cependant, le Tribunal estime que ces déterminations tendent à confirmer les dépositions de son ex-épouse, selon lesquelles leur couple ne vivait plus en parfaite harmonie lors de la signature de la déclaration commune du 29 février 2012. De surcroit, les époux ont introduit le 11 août 2012 une requête commune en divorce auprès du Tribunal d'arrondissement de la Broye et leur divorce a été prononcé le 12 novembre 2012. L'enchaînement très rapide des événements précités établit par ailleurs la présomption que, contrairement à la déclaration écrite contresignée par les époux le 29 février 2012, leur union n'était alors plus constitutive d'une communauté conjugale effective et stable (cf. ATF 135 II 161 consid. 3 p. 165 et références citées).</w:t>
      </w:r>
    </w:p>
    <w:p>
      <w:r>
        <w:rPr>
          <w:b/>
        </w:rPr>
        <w:t>E. 6.5</w:t>
      </w:r>
    </w:p>
    <w:p>
      <w:r>
        <w:t>Il ressort enfin du jugement de divorce du 12 novembre 2012 que ce dernier vivait séparé de son ex-épouse depuis le mois de mars 2012, soit plus de deux mois avant l'acquisition de la naturalisation facilitée qui lui a été octroyée.</w:t>
      </w:r>
    </w:p>
    <w:p>
      <w:r>
        <w:rPr>
          <w:b/>
        </w:rPr>
        <w:t>E. 7.1</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3.3 supra, et la jurisprudence citée).</w:t>
      </w:r>
    </w:p>
    <w:p>
      <w:r>
        <w:rPr>
          <w:b/>
        </w:rPr>
        <w:t>E. 7.2</w:t>
      </w:r>
    </w:p>
    <w:p>
      <w:r>
        <w:t>Interrogée lors de son audition sur les circonstances de la désunion, l'ex-épouse du recourant avait indiqué que les problèmes au sein du couple avaient « débuté en 2010 » et qu'ils étaient dus à un « problème de chômage », que le recourant avait « perdu son père et son travail en même temps », que le couple se disputait (« on se prenait la tête de plus en plus souvent ») et qu'ensuite, le recourant avait été « infidèle » (cf. réponses ad questions nos 2.1 à 2.3, 2.5 et 7), précisant que la question du divorce avait été abordée pour la première fois « en juin 2011 » (cf. réponses ad questions nos 2.3 et 2.4). Le recourant n'a pas vraiment contesté les explications données par son ex-épouse, se contentant de relever qu'il n'avait pas été infidèle à sa première épouse. Il a précisé ne pas avoir été conscient de la gravité de ses problèmes conjugaux et a fait valoir que le couple avait toujours formé « une union stable » (mémoire de recours, page 8) jusqu'à ce que son épouse prenne la décision de divorcer, contre sa volonté, laissant implicitement entendre que la décision de l'intéressée était parfaitement imprévisible au moment de la signature de la déclaration de vie commune et lors de sa naturalisation.</w:t>
      </w:r>
    </w:p>
    <w:p>
      <w:r>
        <w:rPr>
          <w:b/>
        </w:rPr>
        <w:t>E. 7.3</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7.4</w:t>
      </w:r>
    </w:p>
    <w:p>
      <w:r>
        <w:t>Or, force est de constater que, lors de son audition, l'ex-épouse du recourant avait clairement exclu la survenance - postérieurement à la décision de naturalisation - d'un événement extraordinaire de nature à entraîner une soudaine déliquescence du lien conjugal ; au contraire, elle a admis avoir signé la déclaration sur la communauté conjugale du 29 février 2012 « par pragmatisme » et qu'au moment de la naturalisation du recourant, le 22 mai 2012, les ex-époux étaient séparés, bien qu'enregistrés à la même adresse (cf. les réponses qu'elle avait données aux questions nos 4.1 et 4.2). A ce propos, on relèvera que la décision de divorcer prise subitement par l'un des conjoints ne saurait, en soi, constituer un événement extraordinaire susceptible de conduire à une rapide mise à néant d'une union ayant duré plusieurs années et qui était jusque-là harmonieuse et tournée vers l'avenir (cf. arrêts du TF 1C_543/2015 du 25 février 2016 consid. 3.3, 1C_441/2014 du 15 décembre 2014 consid. 2.4, 1C_290/2010 du 10 septembre 2010 consid. 3.4).</w:t>
      </w:r>
    </w:p>
    <w:p>
      <w:r>
        <w:rPr>
          <w:b/>
        </w:rPr>
        <w:t>E. 8.1</w:t>
      </w:r>
    </w:p>
    <w:p>
      <w:r>
        <w:t>Il reste à déterminer si le recourant a rendu vraisemblable qu'il n'avait pas conscience de la gravité de ses problèmes de couple au moment de la signature de la déclaration de vie commune (29 février 2012) et lors de sa naturalisation (20 avril 2012). Comme on l'a vu, il est patent que des difficultés conjugales en lien avec une simple incompatibilité d'humeur ne sont pas de nature à constituer, dans un couple uni et heureux dont l'union a duré plusieurs années et a été envisagée par chacun des époux comme une communauté de destins, une cause de rupture quasi immédiate du lien conjugal (cf. consid. 7.3 et 7.4 supra). L'allégation du recourant, selon laquelle le couple vivait, aux dates pertinentes, « une union stable » jusqu'à ce que, contre toute attente, sa conjointe prenne le 11 août 2012 la décision de divorcer, à cause de son travail exigeant, n'apparaît donc manifestement pas crédible. Dans ces circonstances, tout porte à penser, à défaut d'éléments concrets et sérieux allant dans le sens contraire, que la situation vécue par les ex-époux était en réalité le fruit d'un long processus de dégradation des rapports conjugaux qui avait débuté bien avant la signature de la déclaration de vie commune (confirmant la stabilité du mariage). Sur le vu de ce qui précède, il apparaît très peu vraisemblable que le recourant n'ait pas eu conscience, au moment de la signature de la déclaration de vie commune et - a fortiori - lors de sa naturalisation, que l'union qu'il formait avec son épouse ne présentait pas l'intensité et la stabilité requises.</w:t>
      </w:r>
    </w:p>
    <w:p>
      <w:r>
        <w:rPr>
          <w:b/>
        </w:rPr>
        <w:t>E. 8.2</w:t>
      </w:r>
    </w:p>
    <w:p>
      <w:r>
        <w:t>Le fait que le recourant et son épouse aient accepté d'introduire, le 11 août 2012, une procédure de divorce par consentement mutuel, après avoir signé une convention portant accord complet sur les effets accessoires de la dissolution de leur union, constitue un élément supplémentaire de nature à discréditer la thèse défendue par le recourant, selon laquelle il pensait encore pouvoir sauver son couple. Le fait que le recourant n'ait jamais allégué - ni, a fortiori, démontré - que le couple aurait pris des mesures concrètes en vue de tenter de sauver son mariage, avant ou après l'introduction de la procédure de divorce, apparaît à cet égard symptomatique. En effet, il est évident que le recourant n'aurait pas souscrit aussi rapidement au divorce si l'union formée par le couple avait été harmonieuse jusque-là et s'il tenait réellement à ce mariage. Son attitude n'est assurément pas celle d'un époux qui, convaincu de vivre une communauté conjugale stable et orientée vers l'avenir, aurait été surpris par la demande en divorce de son épouse (cf. arrêt du TF 1C_421/2008 du 15 décembre 2008 consid. 4.4.2). On relèvera, dans ce contexte, qu'il importe peu, pour l'issue de la cause, que l'épouse du recourant ait été à l'origine de la procédure de divorce, dans la mesure où ce dernier a, lui aussi, rapidement souscrit au divorce (cf. arrêt du TF 1C_859/2013 du 4 mars 2014 consid. 2.3). De plus, il s'impose de constater que le recourant a obtenu la naturalisation facilitée le 20 avril 2012, alors qu'il était séparé de son ex-épouse, à tout le moins « depuis le mois de mars 2012 », selon les allégations de son recours. Dans cette hypothèse, le recourant était de toute manière tenu d'informer spontanément l'autorité de la séparation des époux, obligation qui lui avait été expressément rappelée dans le formulaire concernant la déclaration relative à la communauté conjugale qu'il a contresignée le 29 février 2012, dans les termes suivants : « si au moment de l'introduction de la requête, pendant la procédure ou au moment de la décision, la communauté conjugale n'existe pas ou s'il y a intention de la dissoudre, communication doit en être faite immédiatement au Service cantonal de l'état civil et des étrangers à Sion. ». En outre, le formulaire de déclaration contresigné par le recourant le 29 février 2012 l'avertissait également des conséquences de l'éventuelle dissimulation d'un tel fait essentiel, soit : « si l'information, concernant l'intention de dissoudre la communauté conjugale ou la dissolution elle-même, est dissimulée au Service précité, ma naturalisation facilitée sera ultérieurement annulée conformément à l'art. 41 de la loi sur la nationalité ».</w:t>
      </w:r>
    </w:p>
    <w:p>
      <w:r>
        <w:rPr>
          <w:b/>
        </w:rPr>
        <w:t>E. 8.3</w:t>
      </w:r>
    </w:p>
    <w:p>
      <w:r>
        <w:t>Quant aux arguments du recourant liés à son intégration en Suisse, invoqués dans son courrier reçu par le Tribunal en date du 19 avril 2017, ils ne sont pas pertinents pour l'examen de la question de savoir s'il y a eu (ou non) obtention frauduleuse de la naturalisation (cf. arrêts du TF 1C_362/2017 du 12 octobre 2017 consid. 2.4, 1C_503/2015 du 21 janvier 2016 consid. 3.3, 5A.6/2003 du 24 juillet 2003 consid. 3.2). Ne sont pas non plus pertinents les arguments tirés du fait que le recourant satisferait l'une ou l'autre des conditions posées par la législation suisse à la naturalisation ordinaire. Comme l'a relevé l'autorité inférieure, il s'agit là d'institutions distinctes, répondant à des procédures et dépendant d'autorités compétentes différentes (en ce sens, arrêt du TF 1C_292/2010 du 5 août 2010, consid 5.2). Le recourant est certes en Suisse depuis plus de 12 ans. Cependant, le fait que d'un point de vue des conditions de séjour il pourrait solliciter la naturalisation ordinaire en vertu des dispositions applicables de la loi sur la nationalité suisse n'empêche pas le retrait de la naturalisation facilitée lorsque celle-ci a été obtenue frauduleusement. Ainsi que l'a relevé le Tribunal fédéral dans l'arrêt précité, « les particularités de la naturalisation ordinaire doivent être observées et ne pas être contournées dans la procédure d'annulation d'une naturalisation simplifiée » (voir également, arrêt du TF 1C_340/2008 du 18 novembre 2008, consid. 4). Les conditions de la naturalisation ordinaire ne peuvent donc pas être examinées dans le cadre du présent recours et c'est donc à bon droit que le SEM a rejeté la requête du recourant à cet égard.</w:t>
      </w:r>
    </w:p>
    <w:p>
      <w:r>
        <w:rPr>
          <w:b/>
        </w:rPr>
        <w:t>E. 8.4</w:t>
      </w:r>
    </w:p>
    <w:p>
      <w:r>
        <w:t>En définitive, force est de constater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peu vraisemblable, sur le vu de l'ensemble des éléments du dossier, que l'intéressé n'ait pas été conscient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(cf. consid. 6 supra).</w:t>
      </w:r>
    </w:p>
    <w:p>
      <w:r>
        <w:rPr>
          <w:b/>
        </w:rPr>
        <w:t>E. 8.5</w:t>
      </w:r>
    </w:p>
    <w:p>
      <w:r>
        <w:t>C'est donc à bon droit que l'autorité inférieure a annulé la naturalisation facilitée octroyée au recourant, en application de l'art. 41 al. 1 et 1bis aLN.</w:t>
      </w:r>
    </w:p>
    <w:p>
      <w:r>
        <w:rPr>
          <w:b/>
        </w:rPr>
        <w:t>E. 9.1</w:t>
      </w:r>
    </w:p>
    <w:p>
      <w:r>
        <w:t>Il ressort de ce qui précède que, par sa décision du 15 septembre 2016, l'autorité inférieure n'a ni violé le droit fédéral, ni constaté des faits pertinents de manière inexacte ou incomplète ; en outre, cette décision n'est pas inopportune (cf. art. 49 PA). En conséquence, le recours doit être rejeté.</w:t>
      </w:r>
    </w:p>
    <w:p>
      <w:r>
        <w:rPr>
          <w:b/>
        </w:rPr>
        <w:t>E. 9.2</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