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F-6341/2020 vom 23. November 2021</w:t>
      </w:r>
    </w:p>
    <w:p>
      <w:r>
        <w:t>Bundesverwaltungsgericht, 2021-11-23, FR</w:t>
      </w:r>
    </w:p>
    <w:p>
      <w:r>
        <w:rPr>
          <w:b/>
        </w:rPr>
        <w:t xml:space="preserve">Quelle: </w:t>
      </w:r>
      <w:r>
        <w:t>https://mcp.opencaselaw.ch/entscheid/bvger_F-6341_2020</w:t>
      </w:r>
    </w:p>
    <w:p>
      <w:r>
        <w:t>FR: TAF F-6341/2020 du 23 novembre 2021</w:t>
      </w:r>
    </w:p>
    <w:p>
      <w:r>
        <w:t>IT: TAF F-6341/2020 del 23 novembre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dès lors qu'il n'aurait pas été fiscalement domicilié en France durant la période visée, mais en C._______. Selon lui, il aurait démontré ne plus être contribuable en France depuis l'année 2009. Ce pays ne pratiquant pas d'imposition universelle de ses concitoyens, les renseignements que l'AFC souhaiterait transmettre seraient, dès lors, manifestement dépourvus d'intérêt pour le fisc français. De plus, les requêtes présentées par les autorités françaises consisteraient en une pêche aux renseignements prohibée, car « rien ne permettrait de suspecter qu'il aurait dissimulé un compte aux autorités françaises ». Il soutient par ailleurs qu'il « doit subir cette procédure en raison du fait qu'il a annoncé tardivement son changement de domicile à la banque » B._______, à savoir en 2011.</w:t>
      </w:r>
    </w:p>
    <w:p>
      <w:r>
        <w:rPr>
          <w:b/>
        </w:rPr>
        <w:t>E. 5.1.2</w:t>
      </w:r>
    </w:p>
    <w:p>
      <w:r>
        <w:t>En l'occurrence, dans l'ATF 146 II 150, le Tribunal fédéral a jugé d'une manière qui lie la Cour de céans (cf.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(cf.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Quant à la question de savoir s'il entre en concurrence avec un critère d'assujettissement de l'Etat tiers dans lequel le recourant fait valoir avoir été domicilié fiscalement durant la période sous contrôle, elle n'a pas à être examinée par la Cour de céans. Il s'agit en effet d'un argument que l'intéressé devra faire valoir, comme déjà relevé ci-dessus, devant les autorités françaises. Partant, le premier grief invoqué par le recourant doit être rejeté.</w:t>
      </w:r>
    </w:p>
    <w:p>
      <w:r>
        <w:rPr>
          <w:b/>
        </w:rPr>
        <w:t>E. 5.2.1</w:t>
      </w:r>
    </w:p>
    <w:p>
      <w:r>
        <w:t>Le recourant estime ensuite implicitement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 recourant, l'autorité requérante ne disposerait d'aucun élément rendant vraisemblable que les personnes qui détenaient un compte entre 2006 et 2008 en possédaient encore un durant la période sous contrôle. A cet égard, il a précisé s'être domicilié en C._______ à compter du 26 octobre 2009 et être inscrit au registre des Français établis hors de la France depuis le (...) 2009, ce qui prohiberait, selon lui, une transmission d'informations à l'autorité française au-delà de cette période. Les décisions querellées iraient donc à l'encontre du principe de proportionnalité.</w:t>
      </w:r>
    </w:p>
    <w:p>
      <w:r>
        <w:rPr>
          <w:b/>
        </w:rPr>
        <w:t>E. 5.2.2</w:t>
      </w:r>
    </w:p>
    <w:p>
      <w:r>
        <w:t>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B._______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Au vu de ce qui précède, le grief invoqué par le recourant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