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F-6338/2020 vom 18. August 2022</w:t>
      </w:r>
    </w:p>
    <w:p>
      <w:r>
        <w:t>Bundesverwaltungsgericht, 2022-08-18, FR</w:t>
      </w:r>
    </w:p>
    <w:p>
      <w:r>
        <w:rPr>
          <w:b/>
        </w:rPr>
        <w:t xml:space="preserve">Quelle: </w:t>
      </w:r>
      <w:r>
        <w:t>https://mcp.opencaselaw.ch/entscheid/bvger_F-6338_2020</w:t>
      </w:r>
    </w:p>
    <w:p>
      <w:r>
        <w:t>FR: TAF F-6338/2020 du 18 août 2022</w:t>
      </w:r>
    </w:p>
    <w:p>
      <w:r>
        <w:t>IT: TAF F-6338/2020 del 18 agosto 2022</w:t>
      </w:r>
    </w:p>
    <w:p>
      <w:pPr>
        <w:pStyle w:val="Heading2"/>
      </w:pPr>
      <w:r>
        <w:t>Regeste</w:t>
      </w:r>
    </w:p>
    <w:p>
      <w:r>
        <w:t>Assistance administrative</w:t>
      </w:r>
    </w:p>
    <w:p>
      <w:pPr>
        <w:pStyle w:val="Heading2"/>
      </w:pPr>
      <w:r>
        <w:t>Erwägungen</w:t>
      </w:r>
    </w:p>
    <w:p>
      <w:r>
        <w:rPr>
          <w:b/>
        </w:rPr>
        <w:t>E. 5</w:t>
      </w:r>
    </w:p>
    <w:p>
      <w:r>
        <w:t>5.1.1 Pour ce qui est des conditions de fond, les recourantes arguent en premier lieu que les informations les concernant ne rempliraient pas la condition de la pertinence vraisemblable dès lors qu'elles résidaient en (...) durant la période visée et étaient donc « contribuables fiscales » en (...) durant la période sous contrôle. Le critère de rattachement du domicile fiscal n'étant pas établi, les demandes des autorités françaises devaient soit être déclarées irrecevables soit être rejetées. Elles font en particulier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d'en identifier les titulaires,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En procédant de la sorte, les intéressées estiment que l'Etat requérant violait le principe de proportionnalité en procédant à une « pêche aux renseignements ». 5.1.2 En l'occurrence, dans l'ATF 146 II 150, le Tribunal fédéral a jugé d'une manière qui lie la Cour de céans (cf. consid. 1.4.3 ci-avant)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 supra) - répondait aux trois critères développés par la jurisprudence en lien avec les demandes groupées, applicables par analogie aux « demandes collectives », permettant d'exclure l'existence d'une fishing expedition (cf. consid. 2.5.2 ci-avant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ne permettent pas de conclure que la demande litigieuse constituerait une fishing expedition et violerait le principe de la pertinence vraisemblable. Au surplus,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dès lors pas du domicile de la personne concernée. Au contraire, la probabilité que la personne concernée soit soumise à une obligation fiscale limitée ou illimitée dans l'Etat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 arrêt du TAF A-4977/2016 du 13 février 2018 consid. 3.3.6). 5.1.3 De surcroît, la détermination de la résidence fiscale au plan international est une question de fond qui n'a, pour ce motif également, pas à être examiné définitivement par la Suisse en tant qu'Etat requis au stade de l'assistance administrative (ATF 142 II 218 consid. 3.6 et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au stade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 Il sied encore de relever que le Tribunal de céans a déjà eu l'occasion de juger que les codes de domicile français figurant sur les listes B et C constituaient des critères d'assujettissement suffisants pour considérer que les renseignements requis étaient vraisemblablement pertinents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éléments suffisants pour justifier la requête d'assistance fiscale internationale, et explicitement au considérant 6 que « les renseignements demandés remplissent la condition de la pertinence vraisemblable selon l'art. 28 par. 1 CDI CH-FR ». Dans ces circonstances et compte tenu du fait qu'il est incontestable que les recourantes figurent avec un code domicile français « 111 » dans la liste Excel annexée à la requête du 11 mai 2016, il y a lieu de retenir que le critère d'assujettissement invoqué par l'Etat requérant dans le cas d'espèce, à savoir celui du domicile, est suffisamment plausible pour que les renseignements requis soient considérés comme vraisemblablement pertinents. Dans ces conditions, la question de savoir si ce critère entre en concurrence avec un critère d'assujettissement de (...), Etat dans lequel les intéressées font valoir avoir été domiciliées fiscalement durant la période sous contrôle, n'a pas à être examinée par la Cour de céans. 5.1.4 Dès lors que les requêtes de l'autorité française ne constituent pas une « fishing expedition »,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en l'espèce comme respecté (arrêt du TAF A-3045/2020 du 29 mars 2021 consid. 5.1.3). 5.1.5 Partant, le premier grief au fond en lien avec le domicile et avec la violation du principe de proportionnalité y relatif invoqué par les recourantes doit être rejeté.</w:t>
      </w:r>
    </w:p>
    <w:p>
      <w:r>
        <w:rPr>
          <w:b/>
        </w:rPr>
        <w:t>E. 5.2.1</w:t>
      </w:r>
    </w:p>
    <w:p>
      <w:r>
        <w:t>Au moyen d'un deuxième grief, les intéressées reprochent à l'autorité inférieure d'accéder à une demande d'assistance administrative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leur grief, les recourantes avancent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5.2.3</w:t>
      </w:r>
    </w:p>
    <w:p>
      <w:r>
        <w:t>Quant à l'existence d'un lien de causalité entre les données prétendument volées et la demande d'assistance administrative dont se prévalent les recourantes,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5.2.2 supra).</w:t>
      </w:r>
    </w:p>
    <w:p>
      <w:r>
        <w:rPr>
          <w:b/>
        </w:rPr>
        <w:t>E. 5.2.4</w:t>
      </w:r>
    </w:p>
    <w:p>
      <w:r>
        <w:t>Partant, le grief tiré de la violation du principe de la bonne foi en lien avec l'utilisation de données volées doit être rejeté.</w:t>
      </w:r>
    </w:p>
    <w:p>
      <w:r>
        <w:rPr>
          <w:b/>
        </w:rPr>
        <w:t>E. 5.3.1</w:t>
      </w:r>
    </w:p>
    <w:p>
      <w:r>
        <w:t>Dans un troisième grief, les intéressées avancent que les principes de spécialité et de la confiance ne seraient pas respectés dans le cas d'espèce. A l'appui de leur grief, elles arguent, en lien avec les courriers des 11 juillet 2017 et 14 janvier 2020, que les assurances recueillies par l'AFC auprès de la DGFiP concernant l'utilisation des données fiscales, issues de l'assistance administrative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des recourantes. En effet, ni les éléments du dossier ni les affirmations de cette dernière - formulées de manière hypothétique - ne prouvent, ni même n'étayent, le fait prétendu que les informations relatives à l'intéressée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aux intéressées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recourantes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5.3.5</w:t>
      </w:r>
    </w:p>
    <w:p>
      <w:r>
        <w:t>En conséquence, ce grief invoqué par les recourantes doit également être rejeté.</w:t>
      </w:r>
    </w:p>
    <w:p>
      <w:r>
        <w:rPr>
          <w:b/>
        </w:rPr>
        <w:t>E. 5.4.1</w:t>
      </w:r>
    </w:p>
    <w:p>
      <w:r>
        <w:t>Quant aux griefs relatifs à la violation du principe de subsidiarité, les intéressées invoquent que l'Etat requérant a présenté dans un même document un état de fait général, sans aucune référence à des contrôles ou enquêtes en cours auprès des contribuables déterminés. Ainsi, les autorités françaises auraient été incapables de démontrer que, pour chaque demande individuelle, les sources habituelles de renseignement prévues par leur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en l'espèce la Suisse, agissant par l'AFC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intéressées.</w:t>
      </w:r>
    </w:p>
    <w:p>
      <w:r>
        <w:rPr>
          <w:b/>
        </w:rPr>
        <w:t>E. 5.4.4</w:t>
      </w:r>
    </w:p>
    <w:p>
      <w:r>
        <w:t>Compte tenu de ce qui précède, le respect du principe de subsidiarité doit être considéré comme donné.</w:t>
      </w:r>
    </w:p>
    <w:p>
      <w:r>
        <w:rPr>
          <w:b/>
        </w:rPr>
        <w:t>E. 6.1</w:t>
      </w:r>
    </w:p>
    <w:p>
      <w:r>
        <w:t>Vu les considérants qui précèdent, les recours sont rejetés. Les recourantes,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de 10'000 francs. Le solde de 5'000 francs sera restitué par 2'500 francs, à chacune des recourantes,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