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F-6328/2019 vom 25. Januar 2021</w:t>
      </w:r>
    </w:p>
    <w:p>
      <w:r>
        <w:t>Bundesverwaltungsgericht, 2021-01-25, FR</w:t>
      </w:r>
    </w:p>
    <w:p>
      <w:r>
        <w:rPr>
          <w:b/>
        </w:rPr>
        <w:t xml:space="preserve">Quelle: </w:t>
      </w:r>
      <w:r>
        <w:t>https://mcp.opencaselaw.ch/entscheid/bvger_F-6328_2019</w:t>
      </w:r>
    </w:p>
    <w:p>
      <w:r>
        <w:t>FR: TAF F-6328/2019 du 25 janvier 2021</w:t>
      </w:r>
    </w:p>
    <w:p>
      <w:r>
        <w:t>IT: TAF F-6328/2019 del 25 gennaio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SPOP du 10 juillet 2019, et peuvent s'écarter de l'appréciation faite par cette autorité.</w:t>
      </w:r>
    </w:p>
    <w:p>
      <w:r>
        <w:rPr>
          <w:b/>
        </w:rPr>
        <w:t>E. 4</w:t>
      </w:r>
    </w:p>
    <w:p>
      <w:r>
        <w:t>A teneur de l'art. 30 al. 1 let. b LEI, il est possible de déroger aux conditions d'admission (art. 18 à 29 LEI) notamment dans le but de tenir compte des cas individuels d'une extrême gravité ou d'intérêts publics majeurs.</w:t>
      </w:r>
    </w:p>
    <w:p>
      <w:r>
        <w:rPr>
          <w:b/>
        </w:rPr>
        <w:t>E. 4.1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voir aussi : arrêt du TAF F-2672/2018 du 26 mai 2020 consid. 5.1).</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4.3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w:t>
      </w:r>
    </w:p>
    <w:p>
      <w:r>
        <w:rPr>
          <w:b/>
        </w:rPr>
        <w:t>E. 5</w:t>
      </w:r>
    </w:p>
    <w:p>
      <w:r>
        <w:t>Dans sa décision querellée, le SEM a estimé que l'intéressée ne séjournait en Suisse que depuis le mois de mai 2015 et que le fait pour un étranger de séjourner en Suisse pendant plusieurs années ne permettait pas d'admettre un cas personnel d'extrême gravité, sans que n'existent d'autres circonstances tout à fait exceptionnelles. A ce titre, l'autorité précédente a retenu que la requérante avait vécu dans son pays jusqu'à l'âge de 50 ans et qu'elle avait ainsi passé son enfance, son adolescence et toute sa vie d'adulte au Canada, années essentielles pour la formation de la personnalité et pour l'intégration culturelle. En outre, l'intéressée n'avait pas connu une importante ascension professionnelle, ni n'avait développé en Suisse des connaissances spécifiques telles qu'elle ne pourrait les mettre en pratique dans son pays d'origine. Dès lors, le SEM a conclu que la requérante ne se trouvait pas dans une situation représentant un cas d'extrême gravité. La recourante s'est tout d'abord prévalue de la durée de vie commune avec son ex-concubin. Elle a relevé, à ce titre, avoir été mise au bénéfice d'une autorisation de séjour en Suisse dans le cadre d'un regroupement familial. De la sorte, il était admis qu'elle pouvait se prévaloir de l'art. 8 CEDH en raison de la durée et de la stabilité de la relation avec son ex-compagnon, alors même que ceux-ci n'avaient jamais été formellement mariés. Se trouvant ainsi dans une situation analogue à une personne mariée, la recourante est d'avis qu'il convient d'interpréter l'art. 30 al. 1 let. b LEI en fonction de l'art. 50 LEI, disposition qui permet, notamment, la prolongation d'une autorisation de séjour lorsque l'union conjugale a duré au moins trois ans et si les critères d'intégration de l'art. 58a LEI sont remplis. D'après l'intéressée, une discrimination entre une personne mariée et une personne qui jouit d'une vie familiale analogue au mariage ne reposait sur aucun critère objectif. Or, elle a considéré que l'union avec son concubin avait duré trois ans. Sur un autre plan, la recourante a relevé que, contrairement à ce qu'avait retenu le SEM, elle avait vécu au Canada jusqu'à l'âge de 32 ans et non 50 ans. Par ailleurs, l'intéressée a estimé remplir les critères d'intégration de l'art. 58a LEI puisque, en particulier, elle avait toujours respecté l'ordre et la sécurité publics en Suisse, maîtrisait le français, entendait participer à la vie économique et était indépendante financièrement. Finalement, la recourante a exposé se trouver dans une situation de fragilité qui avait nécessité un traitement thérapeutique en lien avec des traumatismes vécus pendant son enfance au Canada, pays dans lequel elle ne disposait plus de réseau social.</w:t>
      </w:r>
    </w:p>
    <w:p>
      <w:r>
        <w:rPr>
          <w:b/>
        </w:rPr>
        <w:t>E. 5.1</w:t>
      </w:r>
    </w:p>
    <w:p>
      <w:r>
        <w:t>S'agissant tout d'abord des arguments de la recourante en lien avec l'application de l'art. 50 LEI, seules les années de mariage et non de concubinage sont pertinentes (ATF 140 II 345 consid. 4.1 ; ATF 140 II 289 consid. 3 ; cf. aussi arrêt du Tribunal fédéral [ci-après aussi : le TF] 2C_705/2018 du 11 septembre 2018 consid. 4.2), de sorte qu'elle ne peut se prévaloir de cette disposition puisqu'elle n'a jamais été mariée en Suisse. Par ailleurs, si le Tribunal fédéral a élargi l'application de cette disposition aux anciens conjoints de ressortissants de l'UE en raison de l'interdiction de discrimination prévue à l'art. 2 ALCP (RS 0.142.112.681) dans son arrêt 2C_202/2018 du 19 juillet 2019, il faut constater que cette affaire concernait également un couple marié (cf., notamment, le consid. 3.1). A titre superfétatoire, les conditions de l'art. 50 al. 1 let. a LEI ne seraient, quoi qu'il en soit, pas réunies. En effet,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LEI ne saurait être appliqué (ATF 137 II 345 consid. 3.1.3 ; arrêt du TF 2C_808/2015 du 23 octobre 2015 consid. 3.1). La notion d'union conjugale au sens de cette disposition ne se confond pas avec celle de la seule cohabitation, mais implique une volonté matrimoniale commune de la part des époux (arrêt du TF 2C_1258/2012 du 2 août 2013 consid. 4.1). On est en présence d'une communauté conjugale au sens de l'art. 50 LEI lorsque le mariage est effectivement vécu et que les époux font preuve d'une volonté réciproque de vivre en union conjugale (ATF 138 II 229 consid. 2 et 137 II 345 consid. 3.1.2). Or, la recourante est entrée en Suisse pour vivre avec son ex-concubin le 31 mai 2015 (cf. rapport d'arrivée du 17 juin 2015, ad dossier cantonal) et la séparation est intervenue entre avril et début mai 2018 (cf. mémoire de recours du 29 novembre 2019 p. 4, n° 20 ; procès-verbal de la prise de déclaration du 25 avril 2019, p. 2, D. 5, ad dossier cantonal). C'est donc à tort que l'autorité cantonale a retenu, en tenant compte de la date du départ de Suisse de l'ex-concubin, que la vie commune avait duré trois ans. Dans ces conditions donc, la poursuite éventuelle du séjour en Suisse ne pourrait exister qu'en présence de raisons personnelles majeures au sens de l'art. 50 al. 1 let. b LEI, dont la teneur est similaire à celle de l'art. 30 al. 1 let. b LEI (cf., notamment, arrêt du TAF F-6526/2016 du 18 juin 2018 consid. 8.5).</w:t>
      </w:r>
    </w:p>
    <w:p>
      <w:r>
        <w:rPr>
          <w:b/>
        </w:rPr>
        <w:t>E. 5.2</w:t>
      </w:r>
    </w:p>
    <w:p>
      <w:r>
        <w:t>A ce propos, la recourante séjourne en Suisse depuis mai 2015, soit depuis moins de six ans. La durée de ce séjour n'est ainsi pas à ce point longue qu'elle s'opposerait irrémédiablement à un renvoi de Suisse. Il importe en outre de souligner que, selon la jurisprudence applicable en la matière, le simple fait pour un étranger de séjourner en Suisse pendant de longues années ne permet pas d'admettre un cas personnel d'une extrême gravité (cf. ATAF 2007/16 consid. 7). On notera encore que, actuellement, la présence en Suisse de l'intéressée ne dépend que de l'effet suspensif du présent recours et ne peut donc pas être prise en considération, ou alors seulement dans une mesure très restreinte (cf. notamment ATF 130 II 39 consid. 3, ATAF 2007/45 consid. 4.4 et 6.3 et ATAF 2007/44 consid. 5.2). Dans ces circonstances, la recourante ne saurait tirer parti de la seule durée de son séjour en Suisse pour bénéficier d'une dérogation aux conditions d'admission, puisqu'elle se trouve en effet dans une situation comparable à celle de nombreux étrangers qui sont appelés à quitter la Suisse au terme d'un séjour autorisé ou non et qui, ne bénéficiant d'aucun traitement particulier, demeurent soumis aux conditions d'admission usuelles. Par ailleurs, la durée de ce séjour ne permet pas encore à la recourante de se prévaloir de l'art. 8 CEDH sous l'angle de la protection de sa vie privée (cf. ATF 144 I 266 consid. 3.8 et 3.9). Partant, il y a lieu d'examiner si des critères d'évaluation autres que la seule durée du séjour en Suisse seraient de nature à admettre qu'un départ de ce pays placerait l'intéressée dans une situation extrêmement rigoureuse.</w:t>
      </w:r>
    </w:p>
    <w:p>
      <w:r>
        <w:rPr>
          <w:b/>
        </w:rPr>
        <w:t>E. 5.3</w:t>
      </w:r>
    </w:p>
    <w:p>
      <w:r>
        <w:t>A propos de l'intégration professionnelle, il ressort des pièces au dossier que la recourante n'a exercé aucune activité au cours de son séjour en Suisse (cf. courrier de la recourant du 19 août 2019, cf. mémoire de recours du 29 novembre 2019, annexe 23). Depuis le début de l'année 2018, elle a entrepris des démarches en vue de développer une activité de naturopathie et en biorésonance, activité pour laquelle elle a acquis une machine d'un montant d'environ Fr. 30'000.- (cf. mémoire de recours du 29 novembre 2019, p. 5, nos 24 et 25 ; courrier de la recourante du 19 décembre 2019, annexe 27, dossier TAF act. 3). Elle a également fourni des attestations de centres de bien-être en Suisse confirmant de futures collaborations (cf. mémoire de recours du 29 novembre 2019, annexes 18 et 19 ; courrier de la recourante du 19 décembre 2019, annexe 26, dossier TAF act. 3). Bien que ces démarches soient louables, elles ne démontrent pas une intégration professionnelle exceptionnelle au point de justifier, à elle seule, l'octroi d'une autorisation de séjour en dérogation aux conditions d'admission ordinaires. En outre, l'intéressée n'a pas acquis en Suisse des qualifications ou des connaissances spécifiques qu'elle ne pourrait pas mettre à profit au Canada, voire en France, pays dans lequel elle a exercé en tant que thérapeute jusqu'en 2014 (cf. mémoire de recours du 29 novembre 2019 p. 3, nos 15 et 16), ni réalisé une ascension professionnelle remarquable, circonstances susceptibles de justifier l'admission d'un cas de rigueur au sens de l'art. 30 al. 1 let. b LEI (arrêt du TAF F-1714/2016 du 24 février 2017 consid. 5.2). Sur le plan financier, la recourante n'a effectivement jamais émargé à l'aide sociale et jouit d'une bonne situation financière (cf. mémoire de recours du 29 novembre 2019 p. 4, nos 21 et 22).</w:t>
      </w:r>
    </w:p>
    <w:p>
      <w:r>
        <w:rPr>
          <w:b/>
        </w:rPr>
        <w:t>E. 5.4</w:t>
      </w:r>
    </w:p>
    <w:p>
      <w:r>
        <w:t>S'agissant de l'intégration de l'intéressée sur le plan social, le Tribunal observe que celle-ci ne s'est prévalue d'aucune attache particulière en Suisse. Il ne ressort en outre pas des pièces au dossier qu'elle serait particulièrement investie dans la vie associative et culturelle de son canton ou de sa commune de résidence, en participant activement à des sociétés locales, par exemple. En sa faveur toutefois, il est relevé qu'elle a fait preuve d'un comportement irréprochable en Suisse et qu'elle dispose de bonnes connaissances du français, dès lors qu'il s'agit de sa langue maternelle. Ceci observé, l'intégration sociale de la recourante ne saurait être qualifiée de remarquable au point de rendre excessivement difficile un départ de la Suisse.</w:t>
      </w:r>
    </w:p>
    <w:p>
      <w:r>
        <w:rPr>
          <w:b/>
        </w:rPr>
        <w:t>E. 5.5</w:t>
      </w:r>
    </w:p>
    <w:p>
      <w:r>
        <w:t>Pour ce qui a trait à la situation familiale, le Tribunal constate que la recourante ne dispose d'aucune attache familiale en Suisse. Dès lors, l'art. 8 CEDH ne saurait non plus trouver application sous l'angle de la vie familiale.</w:t>
      </w:r>
    </w:p>
    <w:p>
      <w:r>
        <w:rPr>
          <w:b/>
        </w:rPr>
        <w:t>E. 5.6</w:t>
      </w:r>
    </w:p>
    <w:p>
      <w:r>
        <w:t>Quant aux possibilités de réintégration de la recourante dans son pays d'origine au sens de l'art. 31 al. 1 let. g OASA, il convient de constater que c'est en effet à tort que l'autorité inférieure a retenu qu'elle avait vécu au Canada jusqu'à l'âge de 50 ans, ce qui a d'ailleurs été admis par le SEM postérieurement au rendu de la décision querellée (cf. courrier du SEM du 15 novembre 2019, mémoire de recours du 29 novembre 2019, annexe 25). L'intéressée a en effet quitté le Canada à l'âge de 32 ans pour séjourner en France jusqu'à l'âge de 50 ans, avant d'entrer en Suisse. Ceci précisé, force est toutefois de constater que l'intéressée a passé toute son enfance et une partie de sa vie d'adulte dans son pays d'origine, avant de s'établir, jusqu'à l'âge de 50 ans, dans un Etat autre que la Suisse. Le Tribunal ne saurait admettre que ces années seraient moins déterminantes pour la formation de la personnalité et, partant, pour l'intégration socioculturelle, que le séjour de l'intéressée en Suisse (cf. arrêt du TF 2C_196/2014 du 19 mai 2014 consid. 4.2). Il n'est en effet pas concevable que son pays d'origine lui soit devenu à ce point étranger qu'elle ne serait plus en mesure, après une période de réadaptation, d'y retrouver ses repères. Celle-ci y dispose d'ailleurs encore d'attaches familiales et sociales, même si elle allègue ne plus entretenir de liens avec ses soeurs (cf. mémoire de recours du 29 novembre 2019 p. 11, n° 10). Il est par ailleurs loisible à la recourante d'effectuer des démarches en vue de l'obtention d'un permis de séjour en France, pays dans lequel elle a vécu environ dix-huit ans avant de venir en Suisse.</w:t>
      </w:r>
    </w:p>
    <w:p>
      <w:r>
        <w:rPr>
          <w:b/>
        </w:rPr>
        <w:t>E. 5.7</w:t>
      </w:r>
    </w:p>
    <w:p>
      <w:r>
        <w:t>Finalement, en ce qui concerne la situation médicale et les traumatismes vécus par la recourante dans son pays d'origine, la jurisprudence constante du Tribunal admet que, le plus souvent combinés à d'autres motifs de rigueur,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Il ressort des éléments fournis par la recourante qu'elle a entrepris une thérapie en Suisse de novembre 2017 à septembre 2018 en raison de traumatismes endurés pendant son enfance au Canada (cf. mémoire de recours du 29 novembre 2019 p. 4, n° 19). Cela étant, cette thérapie est aujourd'hui terminée et elle est parvenue à surmonter ses traumatismes (cf. rapport médical non daté, p. 2, mémoire de recours du 29 novembre 2019, annexe 5). Par ailleurs, le Canada est un pays suffisamment étendu pour que la recourante ne soit pas, en cas de retour, contrainte à s'établir dans les lieux où elle avait jadis subi ses traumatismes, ni à fréquenter les personnes éventuellement à l'origine de ceux-ci. Dès lors, la situation médicale de la recourante n'est pas assimilable à une situation d'extrême gravité propre à fonder l'application de l'art. 30 al. 1 let. b LEI au sens de la jurisprudence précitée.</w:t>
      </w:r>
    </w:p>
    <w:p>
      <w:r>
        <w:rPr>
          <w:b/>
        </w:rPr>
        <w:t>E. 5.8</w:t>
      </w:r>
    </w:p>
    <w:p>
      <w:r>
        <w:t>Partant, au terme d'une appréciation détaillée de l'ensemble des circonstances afférentes à la présente cause, le Tribunal, à l'instar de l'autorité de première instance, parvient à la conclusion que la situation de la recourante, envisagée dans sa globalité, n'est pas constitutive d'un cas individuel d'extrême gravité au sens de l'art. 30 al. 1 let. b LEI et de la jurisprudence restrictive applicable en la matière. C'est donc à juste titre que l'autorité inférieure a refusé de donner son aval à la prolongation, en faveur de l'intéressée, d'une autorisation de séjour fondée sur la disposition précitée.</w:t>
      </w:r>
    </w:p>
    <w:p>
      <w:r>
        <w:rPr>
          <w:b/>
        </w:rPr>
        <w:t>E. 6</w:t>
      </w:r>
    </w:p>
    <w:p>
      <w:r>
        <w:t>Dans la mesure où l'intéressée n'obtient pas d'autorisation de séjour, c'est également à bon droit que l'autorité intimée a prononcé son renvoi de Suisse, conformément à l'art. 64 al. 1 let. c LEI. Comme indiqué au titre de l'analyse des conditions de l'art. 30 al. 1 let. b LEI, l'état de santé de l'intéressée doit être considéré comme stabilisé. En outre, l'instance inférieure était fondée à ordonner l'exécution de cette mesure, puisque la recourante n'a pas démontré l'existence d'obstacles à son retour au Canada, respectivement en France, et le dossier ne fait pas non plus apparaître que l'exécution de ce renvoi serait impossible, illicite ou inexigible au sens de l'art. 83 al. 2 à 4 LEtr.</w:t>
      </w:r>
    </w:p>
    <w:p>
      <w:r>
        <w:rPr>
          <w:b/>
        </w:rPr>
        <w:t>E. 7</w:t>
      </w:r>
    </w:p>
    <w:p>
      <w:r>
        <w:t>Il ressort de ce qui précède que, par sa décision du 29 octobre 2019,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