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F-6308/2023 vom 20. Januar 2025</w:t>
      </w:r>
    </w:p>
    <w:p>
      <w:r>
        <w:t>Bundesverwaltungsgericht, 2025-01-20, DE</w:t>
      </w:r>
    </w:p>
    <w:p>
      <w:r>
        <w:rPr>
          <w:b/>
        </w:rPr>
        <w:t xml:space="preserve">Quelle: </w:t>
      </w:r>
      <w:r>
        <w:t>https://mcp.opencaselaw.ch/entscheid/bvger_F-6308_2023</w:t>
      </w:r>
    </w:p>
    <w:p>
      <w:r>
        <w:t>FR: TAF F-6308/2023 du 20 janvier 2025</w:t>
      </w:r>
    </w:p>
    <w:p>
      <w:r>
        <w:t>IT: TAF F-6308/2023 del 20 gennaio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hat die Ausschreibung im SIS nicht angefochten und damit den Streitgegenstand eingeschränkt. Gegenstand der vorliegen- den Beschwerde bildet entsprechend lediglich das Einreiseverbot in die Schweiz; ob die Ausschreibung im SIS zu Recht erfolgte, ist nicht zu prü- fen.</w:t>
      </w:r>
    </w:p>
    <w:p>
      <w:r>
        <w:rPr>
          <w:b/>
        </w:rPr>
        <w:t>E. 1.4</w:t>
      </w:r>
    </w:p>
    <w:p>
      <w:r>
        <w:t>Der Beschwerdeführer ist zur Erhebung der Beschwerde legitimiert (Art. 48 Abs. 1 VwVG). Auf die frist- und formgerecht eingereichte Be- schwerde ist daher einzutreten (Art. 50 Abs. 1 VwVG und Art. 52 Abs. 1 VwVG).</w:t>
      </w:r>
    </w:p>
    <w:p>
      <w:r>
        <w:rPr>
          <w:b/>
        </w:rPr>
        <w:t>E. 1.5</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2020 VII/4 E. 2.2 m.H., 2014/1 E. 2).</w:t>
      </w:r>
    </w:p>
    <w:p>
      <w:r>
        <w:rPr>
          <w:b/>
        </w:rPr>
        <w:t>E. 3.1</w:t>
      </w:r>
    </w:p>
    <w:p>
      <w:r>
        <w:t>Gestützt auf Art. 67 Abs. 1 Bst. c AIG (SR 142.20) erlässt das SEM ein Einreiseverbot gegenüber weggewiesenen Ausländerinnen und Auslän- dern, wenn sie gegen die öffentliche Sicherheit und Ordnung in der Schweiz oder im Ausland verstossen haben oder diese gefährden.</w:t>
      </w:r>
    </w:p>
    <w:p>
      <w:r>
        <w:t>F-6308/2023 Seite 5 Ein Verstoss gegen die öffentliche Sicherheit und Ordnung liegt unter an- derem dann vor, wenn gesetzliche Vorschriften oder behördliche Verfügun- gen missachtet werden (Art. 77a Abs. 1 Bst. a der Verordnung vom 24. Ok- tober 2007 über Zulassung, Aufenthalt und Erwerbstätigkeit [VZAE, SR 142.201]). Widerhandlungen gegen Normen des Ausländerrechts und strafrechtliche Verurteilungen fallen ohne Weiteres unter diese Begriffsbe- stimmung und können ein Einreiseverbot nach sich ziehen. Beim Fernhal- tegrund des Verstosses gegen die öffentliche Sicherheit und Ordnung be- darf es denn auch keiner ungünstigen Prognose betreffend des Risikos weiterer Verstösse (vgl. Urteil des BVGer F-4866/2023 vom 25. März 2024 E. 4.2 m.H.).</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3.3</w:t>
      </w:r>
    </w:p>
    <w:p>
      <w:r>
        <w:t>Der Bestand und die Dauer des Einreiseverbots sind unter dem Blick- winkel der Verhältnismässigkeit staatlichen Handelns (Art. 5 Abs. 2 BV, Art. 96 Abs. 1 AIG) zu überprüfen. Eine Prognose, für welchen Zeitraum die Sicherungsmassnahme notwendig ist, ist naturgemäss nicht möglich. Abstufungen betreffend die Dauer ergeben sich aus der wertenden Abwä- gung zwischen dem öffentlichen Interesse an der Fernhaltung und den pri- vaten Interessen, welche die betroffene Person an der zeitlichen Beschrän- kung der Massnahme hat (BVGE 2016/33 E. 9.2; 2014/20 E. 8.1). Aus- gangspunkt der Überlegungen bilden die Stellung der verletzten oder ge- fährdeten Rechtsgüter, die Besonderheiten des ordnungswidrigen Verhal- tens und die persönlichen Verhältnisse der betroffenen ausländischen Per- son (Art. 96 Abs. 1 AIG; ferner statt vieler HÄFELIN/MÜLLER/UHLMANN, All- gemeines Verwaltungsrecht, 8. Aufl. 2020, Rz. 555 ff.).</w:t>
      </w:r>
    </w:p>
    <w:p>
      <w:r>
        <w:t>F-6308/2023 Seite 6</w:t>
      </w:r>
    </w:p>
    <w:p>
      <w:r>
        <w:rPr>
          <w:b/>
        </w:rPr>
        <w:t>E. 4.1</w:t>
      </w:r>
    </w:p>
    <w:p>
      <w:r>
        <w:t>Die Vorinstanz begründete das Einreiseverbot damit, dass der Be- schwerdeführer illegal in die Schweiz eingereist sei, sich rechtswidrig hier aufgehalten habe und eine Gefahr für die öffentliche Sicherheit und Ord- nung darstelle.</w:t>
      </w:r>
    </w:p>
    <w:p>
      <w:r>
        <w:rPr>
          <w:b/>
        </w:rPr>
        <w:t>E. 4.2</w:t>
      </w:r>
    </w:p>
    <w:p>
      <w:r>
        <w:t>Der Beschwerdeführer machte anlässlich der polizeilichen Einver- nahme am (…) 2023 geltend, entgegen dem Reisestempel in seinem Pass (datierend vom […].2022) sei er erst vor fünf bis sechs Wochen in die Schweiz gereist und könne sich nicht erklären, weshalb es davon keinen Stempel gebe. Er sei immer nur für drei Monate in der Schweiz gewesen. Gegen die angefochtene Verfügung wandte er ein, er habe die Schweiz im Januar 2023 auf dem Landweg verlassen und sei erst im September 2023 – ebenfalls auf dem Landweg – von Serbien in die Schweiz eingereist. Er habe aufgrund des Verfahrens um Familiennachzug gewusst, dass er sich nicht länger als drei Monate hier aufhalten dürfe. Die Tatsache, dass sein Pass nicht gestempelt worden sei, genüge als Begründung für einen ille- galen Aufenthalt mit einem Overstay von 274 Tagen nicht. Es werde nicht jedes Auto beziehungsweise jeder Reisebus angehalten und einer Kon- trolle unterzogen. Er unterstehe keiner Visums- oder Bewilligungspflicht und sei nicht verpflichtet gewesen, seinen Pass stempeln zu lassen. Bei der Anhaltung durch die Polizei sei er erst eineinhalb Monate hier und da- vor rund sieben Monate nicht in der Schweiz gewesen. Seine Ehefrau lebe mit einer Niederlassungsbewilligung in der Schweiz. Es sei ihm daher nicht zumutbar, sie während zweier Jahre nicht besuchen zu dürfen. Das Einreiseverbot sei daher nicht verhältnismässig und die Dis- tanz, die ihnen zugemutet werde, stelle einen schweren Eingriff in das Recht auf Familienleben gemäss Art. 14 BV und Art. 8 EMRK dar.</w:t>
      </w:r>
    </w:p>
    <w:p>
      <w:r>
        <w:rPr>
          <w:b/>
        </w:rPr>
        <w:t>E. 4.3</w:t>
      </w:r>
    </w:p>
    <w:p>
      <w:r>
        <w:t>Die Vorinstanz wies in der Vernehmlassung darauf hin, dass der Be- schwerdeführer anlässlich der Befragung durch die Polizei nach Belegen für seinen Aufenthalt von Januar bis September 2023 gefragt worden sei. Er habe erklärt, keine Belege – Quittungen, Kreditkartenabrechnungen oder dergleichen – zu haben. Auf Beschwerdeebene habe er ebenfalls keine eingereicht. Gemäss Art. 8 Abs. 3 Schengener Grenzkodex würden Drittstaatangehörige an den Schengen Aussengrenzen einer eingehenden Kontrolle unterzogen und die vorgezeigten Reisedokumente würden ge- stempelt (Art. 11 Abs. 1 Bst. c SGK). Gestützt auf Art. 12 Abs. 1 SGK könn- ten die zuständigen Behörden bei Fehlen eines Einreisestempels anneh- men, der Inhaber des Reisedokuments erfülle die Voraussetzungen hin-</w:t>
      </w:r>
    </w:p>
    <w:p>
      <w:r>
        <w:t>F-6308/2023 Seite 7 sichtlich der Aufenthaltsdauer nicht oder nicht mehr. Diese Annahme könne durch glaubhaften Nachweis widerlegt werden (Art. 12 Abs. 2 SGK). Daher sei es nicht glaubhaft, dass der Beschwerdeführer sowohl bei der geltend gemachten Ausreise, als auch bei der Wiedereinreise im Januar und Sep- tember 2023 nicht kontrolliert worden sei. Dem Beschwerdeentscheid der Sicherheitsdirektion C._______ vom 12. Januar 2024 sei zu entnehmen, dass er wegen seines totalgefälschten Führerausweises, des Lenkens ei- nes Personenwagens unter Drogeneinfluss und ohne gültige Fahrerlaubnis eine Gefahr für die öffentliche Sicherheit und Ordnung darstelle. Was das Gesuch um Familiennachzug betreffe, sei sein Antrag auf prozeduralen Aufenthalt abgewiesen worden und er habe den Entscheid im Ausland ab- zuwarten. Sollte im diesbezüglichen Beschwerdeverfahren das Familien- nachzugsgesuch gutgeheissen werden, könne die kantonale Migrations- behörde die Aufhebung des Einreiseverbots beantragen. Der Beschwerde- führer habe sich illegal in der Schweiz aufgehalten und damit gegen die schengenrechtlichen Einreise- und Aufenthaltsvoraussetzungen verstos- sen, womit eine ernsthafte Gefährdung der öffentlichen Sicherheit- und Ordnung einhergehe (Art. 67 Abs. 1 Bst. c AIG).</w:t>
      </w:r>
    </w:p>
    <w:p>
      <w:r>
        <w:rPr>
          <w:b/>
        </w:rPr>
        <w:t>E. 4.4</w:t>
      </w:r>
    </w:p>
    <w:p>
      <w:r>
        <w:t>In der Replik wurde vorgebracht, der Beschwerdeführer sei in den neun Monaten zwischen Januar und September 2023 unter anderem (…) gereist und habe drei Monate (…) verbracht.</w:t>
      </w:r>
    </w:p>
    <w:p>
      <w:r>
        <w:rPr>
          <w:b/>
        </w:rPr>
        <w:t>E. 5.1</w:t>
      </w:r>
    </w:p>
    <w:p>
      <w:r>
        <w:t>Der Beschwerdeführer macht geltend, die Vorinstanz habe ihm keine Gelegenheit zur Stellungnahme vor Erlass der angefochtenen Verfügung gegeben und damit seinen Anspruch auf rechtliches Gehör verletzt.</w:t>
      </w:r>
    </w:p>
    <w:p>
      <w:r>
        <w:rPr>
          <w:b/>
        </w:rPr>
        <w:t>E. 5.2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 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w:t>
      </w:r>
    </w:p>
    <w:p>
      <w:r>
        <w:t>F-6308/2023 Seite 8 einandersetzt und jedes einzelne Vorbringen ausdrücklich widerlegt (vgl. BGE 136 I 184 E. 2.2.1).</w:t>
      </w:r>
    </w:p>
    <w:p>
      <w:r>
        <w:rPr>
          <w:b/>
        </w:rPr>
        <w:t>E. 5.3</w:t>
      </w:r>
    </w:p>
    <w:p>
      <w:r>
        <w:t>Der Beschwerdeführer wurde am (…) 2023 polizeilich einvernommen. Er wurde dabei aufgefordert, seine Ein- und Ausreise sowie seine Aufent- halte im Ausland zu belegen und ihm wurde explizit Gelegenheit gegeben, sich zu einer allfälligen Wegweisung und einem Einreiseverbot zu äussern. Er verzichtete auf eine Stellungnahme. Weiter wurde er über die möglichen Konsequenzen seines Verhaltens orientiert, und es war nicht notwendig, dass die Vorinstanz ihm vor Erlass der Verfügung nochmals zusätzlich Ge- legenheit zur Stellungnahme einräumte. Ferner konnte er sich im Rahmen von Beschwerde und Replik erneut zur Sache äussern und Beweise bei- bringen. Eine Verletzung des rechtlichen Gehörs liegt nicht vor.</w:t>
      </w:r>
    </w:p>
    <w:p>
      <w:r>
        <w:rPr>
          <w:b/>
        </w:rPr>
        <w:t>E. 6.1</w:t>
      </w:r>
    </w:p>
    <w:p>
      <w:r>
        <w:t>Der Beschwerdeführer hat gemäss Art. 10 Abs. 1 AIG i.v.m. Art. 9 Abs. 1 VZAE das Recht, sich drei Monate innerhalb eines Zeitraums von sechs Monaten bewilligungsfrei in der Schweiz aufzuhalten.</w:t>
      </w:r>
    </w:p>
    <w:p>
      <w:r>
        <w:rPr>
          <w:b/>
        </w:rPr>
        <w:t>E. 6.2</w:t>
      </w:r>
    </w:p>
    <w:p>
      <w:r>
        <w:t>Bei der Verkehrskontrolle am (…) 2023 enthielt sein Pass einen Ein- reisstempel vom (…) 2022. Bis heute legte er keine Belege vor für seine angebliche Aus- und spätere Wiedereinreise in die Schweiz. Sein Pass hat zwar (…) Ein- und Ausreisestempel diese datieren aber vom (…) und (…) 2020 und betreffen damit nicht den relevanten Zeitraum. Hätte er sich wie vorgebracht im massgeblichen Zeitraum während drei Monaten (…) aufge- halten, wäre ein solcher Nachweis – beispielsweise mit Kreditkarten- oder Kontoabrechnungen, Quittungen oder dergleichen – vergleichsweise ein- fach zu erbringen gewesen und er hätte wohl auch seine dortige Adresse nennen können. Auf die Möglichkeit solche Beweise beizubringen, wurde er bereits bei der polizeilichen Einvernahme am (…) 2023 hingewiesen. Da er bis anhin keinerlei Belege einreichte, bleibt der geltend gemachte Auf- enthalt ausserhalb des Schengenraums unbewiesen. Gemäss Art. 8 Abs. 3 SGK i.V.m. Art. 11 Abs. 1 Bst. c und Art. 12 Abs. 1 SGK ist deshalb davon auszugehen, dass er sich zum Zeitpunkt der Kontrolle länger als drei Monate innerhalb eines Zeitraums von sechs Monaten und damit illegal in der Schweiz aufhielt. Sein Führerschein erwies sich zudem als Fälschung und er wurde positiv auf Kokain und THC getestet. Damit hat er Fernhalte- gründe im Sinne von Art. 67 Abs. 1 Bst. c AIG gesetzt.</w:t>
      </w:r>
    </w:p>
    <w:p>
      <w:r>
        <w:t>F-6308/2023 Seite 9</w:t>
      </w:r>
    </w:p>
    <w:p>
      <w:r>
        <w:rPr>
          <w:b/>
        </w:rPr>
        <w:t>E. 7.1</w:t>
      </w:r>
    </w:p>
    <w:p>
      <w:r>
        <w:t>Der Beschwerdeführer war bereits wiederholt straffällig und mit Urteil vom (…) 2017 zu einer Freiheitsstrafe von drei Jahren verurteilt worden. Weder die Verurteilung noch der daraufhin erfolgte Widerruf seiner Nieder- lassungsbewilligung vermochten ihn offenbar dazu zu bewegen, sich an Gesetze und Regeln zu halten. Da er sich anlässlich der Kontrolle am (…) während 274 Tagen illegal in der Schweiz aufhielt und unter Drogeneinflus- ses beim Lenken eines Fahrzeugs ohne gültigen Führerausweis angetrof- fen wurde, liegen hinreichende Anhaltspunkte für künftige drohende Rechtsverletzungen und die Gefährdung der öffentlichen Sicherheit und Ordnung vor.</w:t>
      </w:r>
    </w:p>
    <w:p>
      <w:r>
        <w:rPr>
          <w:b/>
        </w:rPr>
        <w:t>E. 7.2</w:t>
      </w:r>
    </w:p>
    <w:p>
      <w:r>
        <w:t>Das generalpräventiv motivierte Interesse, die ausländerrechtliche Ordnung durch eine konsequente Massnahmenpraxis zu schützen, ist als gewichtig einzustufen. Dazu kommt eine spezialpräventive Zielsetzung der Massnahme, den Betroffenen zu ermahnen, ausländerrechtliche Bestim- mungen zukünftig einzuhalten und so einer weiteren Störung der öffentli- chen Sicherheit und Ordnung entgegenzuwirken (vgl. F-1827/2018 vom 30. September 2019 E. 7.1 m.w.H.). Mit seinem Verhalten hat der Be- schwerdeführer nach dem bisher Gesagten gegen die öffentliche Sicher- heit und Ordnung verstossen beziehungsweise unter diesen Oberbegriff fallende Rechtsgüter gefährdet. Es besteht ein gewichtiges öffentliches In- teresse an seiner befristeten Fernhaltung.</w:t>
      </w:r>
    </w:p>
    <w:p>
      <w:r>
        <w:rPr>
          <w:b/>
        </w:rPr>
        <w:t>E. 7.3</w:t>
      </w:r>
    </w:p>
    <w:p>
      <w:r>
        <w:t>Den öffentlichen Interessen sind die privaten Interessen des Beschwer- deführers gegenüberzustellen. Er lebte rund (…) Jahre in der Schweiz und verfügt über ein soziales Umfeld. Nach seiner strafrechtlichen Verurteilung im Jahre 2017 wurde anfangs 2018 seine Niederlassungsbewilligung wi- derrufen. Im Jahr 2020 heiratete er eine in der Schweiz niedergelassene Kosovarin. Weder seine Verurteilung noch seine Ehefrau vermochten zu einem Umdenken zu führen, und er ist inzwischen erneut strafrechtlich in Erscheinung getreten. Dies zeigt, dass er nicht willens oder fähig ist, sich an die in der Schweiz herrschenden Regeln und Gesetze zu halten. Seine Ehefrau heiratete er nach dem Entzug seiner Niederlassungsbewilligung und damit im Wissen, dass die Pflege eines gemeinsamen Lebens auf ab- sehbare Zeit in der Schweiz nicht möglich sein könnte. Die Beziehung zu seiner Ehefrau fällt zwar in den Schutzbereich von Art. 8 Ziff. 1 EMRK; der Kontakt kann aber über Besuche seiner Ehefrau bei ihm und mittels Kom- munikationsmittel aufrechterhalten werden. Ferner wäre es auch seiner Ehefrau möglich, mit dem Beschwerdeführer in Serbien oder dem Kosovo zu leben. Das Einreiseverbot kann ferner zur Wahrnehmung von Besuchen</w:t>
      </w:r>
    </w:p>
    <w:p>
      <w:r>
        <w:t>F-6308/2023 Seite 10 von Familienangehörigen nach einer gewissen Zeit auf begründetes Ge- such hin für eine kurze Zeitspanne suspendiert werden (Art. 67 Abs. 5 AIG). Eine Verletzung von Art. 8 EMRK liegt damit nicht vor. Die vorüber- gehende Einschränkung in der Pflege von Kontakten zu in der Schweiz ansässigen Familienangehörigen und Bekannten hat der Beschwerdefüh- rer selbst zu verantworten und in Kauf zu nehmen.</w:t>
      </w:r>
    </w:p>
    <w:p>
      <w:r>
        <w:rPr>
          <w:b/>
        </w:rPr>
        <w:t>E. 8</w:t>
      </w:r>
    </w:p>
    <w:p>
      <w:r>
        <w:t>Eine wertende Gewichtung der sich gegenüberstehenden Interessen führt zum Ergebnis, dass ein auf zwei Jahre befristetes Einreiseverbot dem Grundsatz nach und in Bezug auf seine Dauer eine verhältnismässige und angemessene Massnahme zum Schutz der öffentlichen Sicherheit und Ordnung darstellt.</w:t>
      </w:r>
    </w:p>
    <w:p>
      <w:r>
        <w:rPr>
          <w:b/>
        </w:rPr>
        <w:t>E. 9</w:t>
      </w:r>
    </w:p>
    <w:p>
      <w:r>
        <w:t>Aus den vorstehenden Erwägungen ergibt sich, dass die angefochtene Verfügung im Lichte von Art. 49 VwVG nicht zu beanstanden ist. Die Be- schwerde ist abzuweisen.</w:t>
      </w:r>
    </w:p>
    <w:p>
      <w:r>
        <w:rPr>
          <w:b/>
        </w:rPr>
        <w:t>E. 10</w:t>
      </w:r>
    </w:p>
    <w:p>
      <w:r>
        <w:t>Bei diesem Ausgang des Verfahrens sind die Kosten dem Beschwerdefüh- rer aufzuerlegen (Art. 63 Abs. 1 VwVG) und auf insgesamt Fr. 900.– fest- zusetzen (Art. 1-3 des Reglements vom 21. Februar 2008 über die Kosten und Entschädigungen vor dem Bundesverwaltungsgericht [VGKE, SR 173.320.2]). Der am 5. Januar 2024 in der gleichen Höhe geleistete Kos- tenvorschuss ist zur Bezahlung der Verfahrenskosten zu verwenden. Eine Parteientschädigung fällt ausgangsgemäss ausser Betracht (Art. 64 Abs. 1 VwVG e contrario).</w:t>
      </w:r>
    </w:p>
    <w:p>
      <w:r>
        <w:t>(Dispositiv nächste Seite)</w:t>
      </w:r>
    </w:p>
    <w:p>
      <w:r>
        <w:t>F-6308/2023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