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F-6296/2024 vom 26. September 2024</w:t>
      </w:r>
    </w:p>
    <w:p>
      <w:r>
        <w:t>Bundesverwaltungsgericht, 2024-09-26, DE</w:t>
      </w:r>
    </w:p>
    <w:p>
      <w:r>
        <w:rPr>
          <w:b/>
        </w:rPr>
        <w:t xml:space="preserve">Quelle: </w:t>
      </w:r>
      <w:r>
        <w:t>https://mcp.opencaselaw.ch/entscheid/bvger_F-6296_2024_d20240926</w:t>
      </w:r>
    </w:p>
    <w:p>
      <w:r>
        <w:t>FR: TAF F-6296/2024 du 26 septembre 2024</w:t>
      </w:r>
    </w:p>
    <w:p>
      <w:r>
        <w:t>IT: TAF F-6296/2024 del 26 settembre 2024</w:t>
      </w:r>
    </w:p>
    <w:p>
      <w:pPr>
        <w:pStyle w:val="Heading2"/>
      </w:pPr>
      <w:r>
        <w:t>Regeste</w:t>
      </w:r>
    </w:p>
    <w:p>
      <w:r>
        <w:t>Zuweisung der Asylsuchenden an die Kantone | Zuweisung der Asylsuchenden an die Kantone; Verfügung des SEM vom 26. September 2024</w:t>
      </w:r>
    </w:p>
    <w:p>
      <w:pPr>
        <w:pStyle w:val="Heading2"/>
      </w:pPr>
      <w:r>
        <w:t>Erwägungen</w:t>
      </w:r>
    </w:p>
    <w:p>
      <w:r>
        <w:rPr>
          <w:b/>
        </w:rPr>
        <w:t>E. 1.1</w:t>
      </w:r>
    </w:p>
    <w:p>
      <w:r>
        <w:t>Verfügungen des SEM betreffend Kantonszuweisung unterliegen der Beschwerde an das Bundesverwaltungsgericht (Art. 105 AsylG i.V.m. Art. 31 ff. VGG [SR 173.32] und i.V.m. Art. 5 VwVG [SR 172.021]).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 gereicht (Art. 108 Abs. 1 AsylG; Art. 52 Abs. 1 VwVG). Auf die Beschwerde ist einzutreten.</w:t>
      </w:r>
    </w:p>
    <w:p>
      <w:r>
        <w:rPr>
          <w:b/>
        </w:rPr>
        <w:t>E. 1.4</w:t>
      </w:r>
    </w:p>
    <w:p>
      <w:r>
        <w:t>Die Beschwerde erweist sich – wie im Folgenden zu zeigen sein wird – als offensichtlich begründet, weshalb sie im Verfahren einzelrichterlicher</w:t>
      </w:r>
    </w:p>
    <w:p>
      <w:r>
        <w:t>F-6296/2024 Seite 3 Zuständigkeit mit Zustimmung einer zweiten Richterin respektive eines zweiten Richters, ohne Durchführung eines Schriftenwechsels und mit summarischer Begründung zu behandeln ist (Art. 111 Bst. e AsylG,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AsylG; BVGE 2012/2 E. 3.2.2). Art. 26 FK zielt darauf ab, die Einschrän- kungen der freien Wahl des Aufenthaltsortes und der Bewegungsfreiheit für Flüchtlinge auf ein Minimum zu beschränken. Zulässig sind nur ein- schränkende Bestimmungen, welche für sämtliche Kategorien von auslän- dischen Personen gelten. Abzustellen ist auf diejenigen Einschränkungen, welche auf ausländische Personen mit einer Niederlassungsbewilligung anwendbar sind. Nach bisheriger Rechtsprechung begründet Art. 26 FK für Flüchtlinge einen Anspruch auf Kantonszuweisung beziehungsweise - wechsel in gleichem Umfange, wie er einer niedergelassenen Person ge- stützt auf Art. 37 Abs. 3 AIG zusteht (vgl. BVGE 2012/2 E. 5.2.2; Urteile des BVGer F-270/2025 vom 23. Januar 2025 E. 2.2; F-7070/2024 vom 26. No- vember 2024 E. 2.2; F-1642/2024 vom 16. Mai 2024 E. 3.1; F-724/2020 vom 30. September 2022 E. 4.2.1; F-6485/2020 vom 10. August 2022 E. 3. F-4282/2024 vom 12. Juli 2024 E. 2.3). Der Gesetzgeber hat mit der am 1. Juni 2024 in Kraft getretenen Bestim- mung von Art. 85b Abs. 5 AIG die erwähnte Rechtsprechung ausdrücklich betreffend die Personengruppe von vorläufig aufgenommenen Flüchtlin- gen «konkretisiert». So richtet sich der Kantonswechsel von vorläufig</w:t>
      </w:r>
    </w:p>
    <w:p>
      <w:r>
        <w:t>F-6296/2024 Seite 4 aufgenommenen Flüchtlingen nun explizit nach dem Anspruch auf Kan- tonswechsel von Personen mit Aufenthaltsbewilligung (Art. 37 Abs. 2 AIG) und nicht (mehr) nach demjenigen von Personen mit Niederlassungsbewil- ligung (Art. 37 Abs. 3 AIG). Die Frage, ob im vorliegenden Fall Anlass für eine Änderung der Recht- sprechung besteht (siehe zu den Voraussetzungen hierfür BGE 147 V 342 E. 5.5.1 m.H.), kann jedoch offengelassen werden. Wohl lässt sich eine Praxisänderung unter anderem dann begründen, wenn die neue Lösung besserer Erkenntnis des Gesetzeszwecks entspricht. Beim Beschwerde- führer handelt es sich vorliegend aber nicht um einen vorläufig aufgenom- menen Flüchtling, sondern um einen Flüchtling mit Asylstatus; zudem erging die angefochtene Kantonszuweisung gleichzeitig mit dem Asylent- scheid.</w:t>
      </w:r>
    </w:p>
    <w:p>
      <w:r>
        <w:rPr>
          <w:b/>
        </w:rPr>
        <w:t>E. 2.3</w:t>
      </w:r>
    </w:p>
    <w:p>
      <w:r>
        <w:t>Mit der angefochtenen Verfügung vom 26. September 2024 hat die Vor- instanz dem Beschwerdeführer die Flüchtlingseigenschaft zuerkannt und Asyl gewährt. Sie hat es aber unterlassen, sich mit dem daraus folgenden grundsätzlichen Anspruch des Beschwerdeführers auf freie Wahl des Kan- tons, in dem er sich niederlassen möchte, auseinanderzusetzen. Damit hat sie in ihrer Begründung einen wesentlichen Aspekt ausser Acht gelassen, was einer Verletzung des rechtlichen Gehörs gleichkommt (Art. 29 Abs. 2 BV; Art. 35 VwVG; vgl. BGE 149 V 156 E. 6.1). Zudem hat sie sich nicht mit der Frage auseinandergesetzt, ob einer Zuweisung des Beschwerde- führers an den Kanton Thurgau Widerrufsgründe im Sinne von Art. 63 AIG entgegenstehen könnten. Auch in diesem Punkt erweist sich der Sachver- halt als unvollständig abgeklärt und der Untersuchungsgrundsatz als ver- letzt (Art. 6 AsylG i.V.m. Art. 12 VwVG; Art. 49 Bst. b VwVG).</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Ferner kann der Be- schwerdeführer nicht auf die nachträgliche Einreichung eines Gesuchs um Kantonswechsel verwiesen werden (vgl. Art. 60 Abs. 1 AsylG). Dispositiv- ziffer 3 der angefochtenen Verfügung vom 26. September 2024 ist deshalb aufzuheben und die Sache zur vollständigen und richtigen</w:t>
      </w:r>
    </w:p>
    <w:p>
      <w:r>
        <w:t>F-6296/2024 Seite 5 Sachverhaltsabklärung im Sinne der Erwägungen sowie zu neuer Ent- scheidung an die Vorinstanz zurückzuweisen.</w:t>
      </w:r>
    </w:p>
    <w:p>
      <w:r>
        <w:rPr>
          <w:b/>
        </w:rPr>
        <w:t>E. 3</w:t>
      </w:r>
    </w:p>
    <w:p>
      <w:r>
        <w:t>Die Beschwerde ist somit gutzuheissen. Dispositivziffer 3 der Verfügung vom 26. September 2024 ist aufzuheben und die Sache zur vollständigen und richtigen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F-6296/2024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