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F-6296/2020 vom 4. Mai 2022</w:t>
      </w:r>
    </w:p>
    <w:p>
      <w:r>
        <w:t>Bundesverwaltungsgericht, 2022-05-04, FR</w:t>
      </w:r>
    </w:p>
    <w:p>
      <w:r>
        <w:rPr>
          <w:b/>
        </w:rPr>
        <w:t xml:space="preserve">Quelle: </w:t>
      </w:r>
      <w:r>
        <w:t>https://mcp.opencaselaw.ch/entscheid/bvger_F-6296_2020</w:t>
      </w:r>
    </w:p>
    <w:p>
      <w:r>
        <w:t>FR: TAF F-6296/2020 du 4 mai 2022</w:t>
      </w:r>
    </w:p>
    <w:p>
      <w:r>
        <w:t>IT: TAF F-6296/2020 del 4 maggio 2022</w:t>
      </w:r>
    </w:p>
    <w:p>
      <w:pPr>
        <w:pStyle w:val="Heading2"/>
      </w:pPr>
      <w:r>
        <w:t>Regeste</w:t>
      </w:r>
    </w:p>
    <w:p>
      <w:r>
        <w:t>Assistance administrative</w:t>
      </w:r>
    </w:p>
    <w:p>
      <w:pPr>
        <w:pStyle w:val="Heading2"/>
      </w:pPr>
      <w:r>
        <w:t>Erwägungen</w:t>
      </w:r>
    </w:p>
    <w:p>
      <w:r>
        <w:rPr>
          <w:b/>
        </w:rPr>
        <w:t>E. 5.1</w:t>
      </w:r>
    </w:p>
    <w:p>
      <w:r>
        <w:t>Pour ce qui est des conditions de fond, la recourante argue en premier lieu que les informations les concernant ne rempliraient pas la condition de la pertinence vraisemblable. Selon celle-ci, elle aurait résidé au Liban durant toute la période visée et a produit plusieurs pièces attestant qu'elle était domiciliée dans ce pays depuis 1996 (cf. recours annexes 35 à 44). Par conséquent, à défaut de domicile en France depuis 1996, la condition de la pertinence n'était pas établie, si bien que la demande des autorités françaises devait soit être déclarée irrecevable soit être rejetée. Par ailleurs, la recourante fait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est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5.1.2</w:t>
      </w:r>
    </w:p>
    <w:p>
      <w:r>
        <w:t>En outre, la jurisprudence a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w:t>
      </w:r>
    </w:p>
    <w:p>
      <w:r>
        <w:rPr>
          <w:b/>
        </w:rPr>
        <w:t>E. 5.1.3</w:t>
      </w:r>
    </w:p>
    <w:p>
      <w:r>
        <w:t>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w:t>
      </w:r>
    </w:p>
    <w:p>
      <w:r>
        <w:rPr>
          <w:b/>
        </w:rPr>
        <w:t>E. 5.1.4</w:t>
      </w:r>
    </w:p>
    <w:p>
      <w:r>
        <w:t>Il sied encore de relever que le Tribunal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la période sous contrôle n'a pas à être examinée par la Cour de céans. Partant, le grief relatif au domicile - et à la violation du principe de proportionnalité y relatif - doit être rejeté.</w:t>
      </w:r>
    </w:p>
    <w:p>
      <w:r>
        <w:rPr>
          <w:b/>
        </w:rPr>
        <w:t>E. 5.2</w:t>
      </w:r>
    </w:p>
    <w:p>
      <w:r>
        <w:t>Au moyen d'un deuxième grief, la recourante reproche à l'autorité inférieure d'accéder à une demande d'assistance sans avoir préalablement clarifié l'ensemble des faits et de procéder ainsi à une violation du principe de la bonne foi et de l'art. 7 let. c LAAF. Cette question juridique n'ayant pas été traitée dans l'ATF 146 II 150, il convient par conséquent de l'examiner plus en détail dans la présente cause. A cet égard, la recourante avance que l'arrêt du TAF A-1534/2018 du 3 août 2020 ne permet pas de clarifier l'ensemble des circonstances factuelles ayant conduit à l'obtention par l'Etat requérant d'informations sur les relations bancaires d'un établissement suisse, de la présence de ces données hors de Suisse ainsi qu'à leur saisie. Elle fait valoir que des éclaircissements supplémentaires permettraient d'éviter que la transmission d'informations contrevienne à l'art. 7 let. c LAAF.</w:t>
      </w:r>
    </w:p>
    <w:p>
      <w:r>
        <w:rPr>
          <w:b/>
        </w:rPr>
        <w:t>E. 5.2.1</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B._______.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B._______ et auprès d'autres sites de X._______ en Allemagne. Lors de la perquisition au siège de la banque X._______ Deutschland AG à B._______,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5.1.1 supra). Partant, le grief tiré de la violation du principe de la bonne foi en lien avec l'utilisation de données volées doit être rejeté.</w:t>
      </w:r>
    </w:p>
    <w:p>
      <w:r>
        <w:rPr>
          <w:b/>
        </w:rPr>
        <w:t>E. 5.3.1</w:t>
      </w:r>
    </w:p>
    <w:p>
      <w:r>
        <w:t>Dans un troisième grief, la recourante relève que les principes de spécialité et de la confiance ne sont pas respectés. A l'appui de son grief, elle argue que les assurances recueillies par l'AFC auprès de la DGFiP concernant l'utilisation des données fiscales, issues de l'assistance administrative, sont insuffisantes et qu'elles ne garantissent pas que les données ne seront pas utilisées par la France dans le cadre d'une autre procédure, notamment pénale, ce y compris à l'encontre de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X._______. Toutefois, on ne saurait déduire a contrario que l'autorité requérante entendrait violer le principe de spécialité à l'égard de la recourante. En effet, ni les éléments du dossier ni les affirmations de la recourante - formulées de manière hypothétique - ne prouvent, ni même n'étayent, le fait prétendu que les informations relatives à la recourante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à la recourante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la recourante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5.4</w:t>
      </w:r>
    </w:p>
    <w:p>
      <w:r>
        <w:t>Enfin, s'agissant du grief relatif à la violation du principe de subsidiarité en lien avec le principe de la bonne foi, la recourante invoque, dans son pourvoi, que l'Etat requérant a présenté dans un même document un état de fait général, sans aucune mention de références relatives à des contrôles ou enquêtes en cours auprès de contribuables déterminés.</w:t>
      </w:r>
    </w:p>
    <w:p>
      <w:r>
        <w:rPr>
          <w:b/>
        </w:rPr>
        <w:t>E. 5.4.1</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5.4.2</w:t>
      </w:r>
    </w:p>
    <w:p>
      <w:r>
        <w:t>À ce propos, le Tribunal relève que l'autorité requérante a indiqué dans le courrier d'accompagnement de sa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la recourante. De plus, aucun élément en l'espèce ne justifie de reconsidérer la bonne foi de l'autorité inférieure quant aux conditions dans lesquelles la demande d'assistance administrative a été déposée (cf. également à ce sujet, consid. 2.4 et 5.2 ci-avant). Compte tenu de ce qui précède, le respect du principe de subsidiarité - respectivement du principe de la bonne foi - doit être considéré comme donné.</w:t>
      </w:r>
    </w:p>
    <w:p>
      <w:r>
        <w:rPr>
          <w:b/>
        </w:rPr>
        <w:t>E. 6.1</w:t>
      </w:r>
    </w:p>
    <w:p>
      <w:r>
        <w:t>Vu les considérants qui précèdent, le recours est rejeté. La recourante, qui succombe, doit supporter les frais de procédure, lesquels se montent, compte tenu de la charge de travail liée à la procédure, à 5'000 francs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