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F-6280/2015 vom 10. Februar 2017</w:t>
      </w:r>
    </w:p>
    <w:p>
      <w:r>
        <w:t>Bundesverwaltungsgericht, 2017-02-10, DE</w:t>
      </w:r>
    </w:p>
    <w:p>
      <w:r>
        <w:rPr>
          <w:b/>
        </w:rPr>
        <w:t xml:space="preserve">Quelle: </w:t>
      </w:r>
      <w:r>
        <w:t>https://mcp.opencaselaw.ch/entscheid/bvger_F-6280_2015</w:t>
      </w:r>
    </w:p>
    <w:p>
      <w:r>
        <w:t>FR: TAF F-6280/2015 du 10 février 2017</w:t>
      </w:r>
    </w:p>
    <w:p>
      <w:r>
        <w:t>IT: TAF F-6280/2015 del 10 febbraio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legitimiert (Art. 48 Abs. 1 VwVG). Auf die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Überschreitungen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gemäss Art. 67 Abs. 3 AuG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ausnahmsweise abgesehen oder ein Einreiseverbot vollständig oder vorübergehend aufgehoben werden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w:t>
      </w:r>
    </w:p>
    <w:p>
      <w:r>
        <w:rPr>
          <w:b/>
        </w:rPr>
        <w:t>E. 4.1</w:t>
      </w:r>
    </w:p>
    <w:p>
      <w:r>
        <w:t>Mit Entscheid vom 30. Juli 2015 wies das Migrationsamt des Kantons Thurgau den Beschwerdeführer gestützt auf Art. 64 AuG weg. Die Vollstreckung der Wegweisung erfolgte sofort im Anschluss an die Haftentlassung (Art. 64d Abs. 2 Bst. a und b AuG). Dieser Sachverhalt zieht gemäss Art. 67 Abs. 1 Bst. a AuG eine Fernhaltemassnahme nach sich.</w:t>
      </w:r>
    </w:p>
    <w:p>
      <w:r>
        <w:rPr>
          <w:b/>
        </w:rPr>
        <w:t>E. 4.2</w:t>
      </w:r>
    </w:p>
    <w:p>
      <w:r>
        <w:t>Mit Strafbefehl der Staatsanwaltschaft B._______ vom 16. September 2015 wurde der Beschwerdeführer wegen des Vergehens und der Übertretung gegen das Betäubungsmittelgesetz, der Hinderung einer Amtshandlung sowie des mehrfachen Nichtanzeigens eines Fundes mit einer Geldstrafe von 120 Tagessätzen, bedingt erlassen bei einer Probezeit von zwei Jahren, unter Anrechnung von 27 Tagen Untersuchungshaft, sowie einer Busse von Fr. 900.- bestraft (kant.-pag. 24 - 27). Gleichentags wurde der Beschwerdeführer nach Nigeria ausgeschafft (kant.-pag. 55 - 56). Die sanktionierten Straftaten stellen Verstösse gegen die öffentliche Ordnung und Sicherheit im Sinne von Art. 67 Abs. 2 Bst. a AuG dar, für die ein Einreiseverbot verhängt werden kann.</w:t>
      </w:r>
    </w:p>
    <w:p>
      <w:r>
        <w:rPr>
          <w:b/>
        </w:rPr>
        <w:t>E. 4.3</w:t>
      </w:r>
    </w:p>
    <w:p>
      <w:r>
        <w:t>Demzufolge gilt es als erstellt, dass der Beschwerdeführer durch sein bisheriges Verhalten hinreichende Gründe für die Verhängung einer Fernhaltemassnahme gesetzt hat.</w:t>
      </w:r>
    </w:p>
    <w:p>
      <w:r>
        <w:rPr>
          <w:b/>
        </w:rPr>
        <w:t>E. 5</w:t>
      </w:r>
    </w:p>
    <w:p>
      <w:r>
        <w:t>5.1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w:t>
      </w:r>
    </w:p>
    <w:p>
      <w:r>
        <w:rPr>
          <w:b/>
        </w:rPr>
        <w:t>E. 5.2</w:t>
      </w:r>
    </w:p>
    <w:p>
      <w:r>
        <w:t>Der Beschwerdeführer ist verurteilt worden, unter anderem in einem besonders sensiblen Bereich (Betäubungsmitteldelikt). Es liegt insbesondere ein generalpräventiv motiviertes öffentliches Interesse an der Fernhaltung des Beschwerdeführers vor, dies auch im Sinne einer kontinuierlichen Praxis. Eine spezialpräventive Zielsetzung der Massnahme ist darin zu sehen, dass sie den Betroffenen ermahnt, bei einer allfälligen künftigen Wiedereinreise in die Schweiz nach Ablauf der Dauer des Einreiseverbots die geltenden Regeln einzuhalten. Es besteht somit ein gewichtiges öffentliches Interesse an einer Fernhaltung des Beschwerdeführers.</w:t>
      </w:r>
    </w:p>
    <w:p>
      <w:r>
        <w:rPr>
          <w:b/>
        </w:rPr>
        <w:t>E. 5.3</w:t>
      </w:r>
    </w:p>
    <w:p>
      <w:r>
        <w:t>Den öffentlichen Interessen sind die privaten Interessen des Beschwerdeführers gegenüber zu stellen. Diesbezüglich machte er geltend, er verfüge für Frankreich, einem Schengen-Mitgliedstaat, noch über eine bis zum 23. Januar 2018 gültige Aufenthaltsbewilligung. Er habe ein erhebliches Interesse, in die Nähe seiner (damals) im vierten Monat schwangeren Partnerin, welche in Deutschland wohne, zu ziehen, um für ihren Lebensunterhalt aufzukommen und ihr während der Schwangerschaft beizustehen. Er sei der Vater des Kindes, welches voraussichtlich im März 2016 geboren werde. Das Kind habe er bereits anerkannt. Die Erweiterung des Einreiseverbots auf die Schengen-Staaten erscheine vor diesem Hintergrund nicht nur als unzulässig, sondern auch als unverhältnismässig.</w:t>
      </w:r>
    </w:p>
    <w:p>
      <w:r>
        <w:rPr>
          <w:b/>
        </w:rPr>
        <w:t>E. 5.4</w:t>
      </w:r>
    </w:p>
    <w:p>
      <w:r>
        <w:t>Da die Vorinstanz am 3. Juni 2016 die Ausschreibung des Beschwerdeführers im Schengener Informationssystem SIS II aufgrund seines Aufenthaltstitels in Frankreich mit sofortiger Wirkung aufgehoben hat, ist es dem Beschwerdeführer nicht mehr verwehrt, sich in Frankreich oder Deutschland aufzuhalten.</w:t>
      </w:r>
    </w:p>
    <w:p>
      <w:r>
        <w:rPr>
          <w:b/>
        </w:rPr>
        <w:t>E. 5.5</w:t>
      </w:r>
    </w:p>
    <w:p>
      <w:r>
        <w:t>Bezüglich der Schweiz sind keine privaten Interessen ersichtlich, die eine Aufhebung oder eine Verkürzung des Einreiseverbots zu rechtfertigen vermögen. Dem Beschwerdeführer sind überdies während der Geltungsdauer der Fernhaltemassnahme Besuchsaufenthalte bei ihm allfällig nahe stehenden Personen in der Schweiz nicht schlichtweg untersagt; das SEM kann die Fernhaltemassnahme auf begründetes Gesuch hin aus humanitären oder anderen wichtigen Gründen befristet suspendieren (vgl. Art. 67 Abs. 5 AuG; BVGE 2013/4 E. 7.4.3 m.H.).</w:t>
      </w:r>
    </w:p>
    <w:p>
      <w:r>
        <w:rPr>
          <w:b/>
        </w:rPr>
        <w:t>E. 5.6</w:t>
      </w:r>
    </w:p>
    <w:p>
      <w:r>
        <w:t>Eine wertende Gewichtung der sich entgegenstehenden Interessen führt das Bundesverwaltungsgericht zum Schluss, dass das auf vier Jahre befristete Einreiseverbot auch im gegenwärtigen Zeitpunkt unter Berücksichtigung der gängigen Praxis eine verhältnismässige und angemessene Massnahme zum Schutz der öffentlichen Ordnung darstellt.</w:t>
      </w:r>
    </w:p>
    <w:p>
      <w:r>
        <w:rPr>
          <w:b/>
        </w:rPr>
        <w:t>E. 6</w:t>
      </w:r>
    </w:p>
    <w:p>
      <w:r>
        <w:t>Schliesslich bleibt die von der Vorinstanz angeordnete Ausschreibung des Einreiseverbots im SIS zu prüfen.</w:t>
      </w:r>
    </w:p>
    <w:p>
      <w:r>
        <w:rPr>
          <w:b/>
        </w:rPr>
        <w:t>E. 6.1</w:t>
      </w:r>
    </w:p>
    <w:p>
      <w:r>
        <w:t>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der Verordnung [EU] Nr. 2016/399 des Europäischen Parlaments und des Rates vom 9. März 2016 [kodifizierter Text] über einen Gemein-schaftskodex für das Überschreiten der Grenze durch Personen [Schen-gener Grenzkodex, SGK, ABl. L 77/1 vom 23. März 2016]).</w:t>
      </w:r>
    </w:p>
    <w:p>
      <w:r>
        <w:rPr>
          <w:b/>
        </w:rPr>
        <w:t>E. 6.2</w:t>
      </w:r>
    </w:p>
    <w:p>
      <w:r>
        <w:t>Eine Person, die nicht die Staatsangehörigkeit eines Mitgliedstaates besitzt (Drittstaatangehörige), kann im SIS zur Einreise- und Aufenthalts- verweigerung ausgeschrieben werden, wenn die "Angemessenheit, Rele-vanz und Bedeutung des Falles" eine solche Massnahme rechtfertigen (Art. 2 und 21 der SIS-II-VO).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die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plant (Art. 24 Ziff. 2 Bst. b SIS-II-VO). Weiter kann eine Ausschreibung eingegeben werden, wenn die Entscheidung nach Ziff. 1 darauf beruht, dass der Drittstaatsangehörige ausgewiesen, zurückgeschoben oder ausgeschafft worden ist (Art. 24 Ziff. 3 erster Teilsatz SIS-II-VO).</w:t>
      </w:r>
    </w:p>
    <w:p>
      <w:r>
        <w:rPr>
          <w:b/>
        </w:rPr>
        <w:t>E. 6.3</w:t>
      </w:r>
    </w:p>
    <w:p>
      <w:r>
        <w:t>Der Beschwerdeführer kann als Drittstaatsangehöriger somit grund-sätzlich zur Einreise- bzw. Aufenthaltsverweigerung im SIS ausgeschrie-ben werden. Er wurde aus der Schweiz weggewiesen und ausgeschafft, womit die Voraussetzungen nach Art. 24 Ziff. 3 SIS-II-VO erfüllt wären. Soweit stünde einer Ausschreibung im SIS nichts entgegen. Zu Recht führte die Vorinstanz zunächst weiter aus, ein Verzicht auf eine Ausschreibung im SIS käme nur dann in Betracht, wenn der Beschwerdeführer im Besitze eines Aufenthaltstitels eines Schengen-Mitgliedstaates wäre. Diesbezüglich gilt es auf Art. 25 des Schengener Durchführungsübereinkommens vom 14. Juni 1985 (SDÜ, Abl. L 239 vom 22. September 2000, S. 19 - 62) hinzuweisen. Das darin statuierte Konsultationsverfahren regelt, wann der ausschreibende Vertragsstaat die Einreiseverweigerung gegenüber einem Drittstaatsangehörigen im SIS wieder löscht. Dies wäre dann der Fall, wenn ein anderes Schengenland dem Beschwerdeführer eine Aufenthaltserlaubnis erteilen oder zusichern würde. Die Vorinstanz hat die zuständige Behörde in Frankreich nicht konsultiert, jedoch die SIS-Ausschreibung aufgrund der gültigen Aufenthaltsbewilligung in Frankreich am 3. Juni 2016 aufgehoben.</w:t>
      </w:r>
    </w:p>
    <w:p>
      <w:r>
        <w:rPr>
          <w:b/>
        </w:rPr>
        <w:t>E. 6.4</w:t>
      </w:r>
    </w:p>
    <w:p>
      <w:r>
        <w:t>Die Rechtsvertreterin beantragte, die SIS-Ausschreibung des Beschwerdeführers sei rückwirkend per 16. September 2015 aufzuheben, denn die Ausschreibung sei nie rechtmässig gewesen (vgl. Bst. L).</w:t>
      </w:r>
    </w:p>
    <w:p>
      <w:r>
        <w:rPr>
          <w:b/>
        </w:rPr>
        <w:t>E. 6.5</w:t>
      </w:r>
    </w:p>
    <w:p>
      <w:r>
        <w:t>Einem Ausdruck aus dem ZEMIS - der Parteivertreterin am 24. November 2016 zugestellt - kann entnommen werden, dass die SIS-Abfrage für den Beschwerdeführer keine Ergebnisse geliefert hat. Demzufolge ist der Beschwerdeführer auch für den Zeitraum vom 16. September 2015 bis 3. Juni 2016 nicht mehr im SIS verzeichnet. Die SIS-Ausschreibung ist mit der Löschung vom 3. Juni 2016 somit vollständig aus dem System entfernt worden (BVGer-act. 27).</w:t>
      </w:r>
    </w:p>
    <w:p>
      <w:r>
        <w:rPr>
          <w:b/>
        </w:rPr>
        <w:t>E. 7</w:t>
      </w:r>
    </w:p>
    <w:p>
      <w:r>
        <w:t>Aus diesen Erwägungen ergibt sich, dass die angefochtene Verfügung im Lichte von Art. 49 VwVG nicht zu beanstanden ist. Die Beschwerde ist daher abzuweisen. Soweit sie sich auf den Antrag bezüglich Löschung der SIS-Ausschreibung bezieht, ist sie gegenstandslos geworden.</w:t>
      </w:r>
    </w:p>
    <w:p>
      <w:r>
        <w:rPr>
          <w:b/>
        </w:rPr>
        <w:t>E. 8</w:t>
      </w:r>
    </w:p>
    <w:p>
      <w:r>
        <w:t>8.1 Der Beschwerdeführer liess mit seiner Eingabe vom 5. Oktober 2015 um Gewährung der unentgeltlichen Rechtspflege ersuchen (Art. 65 Abs. 1 und 2 VwVG).</w:t>
      </w:r>
    </w:p>
    <w:p>
      <w:r>
        <w:rPr>
          <w:b/>
        </w:rPr>
        <w:t>E. 8.2</w:t>
      </w:r>
    </w:p>
    <w:p>
      <w:r>
        <w:t>Gemäss Art. 65 Abs. 1 VwVG wird eine Partei, die nicht über die erfor-derlichen Mittel verfügt, auf Antrag hin von der Pflicht zur Bezahlung allfäl-liger Verfahrenskosten befreit, wenn ihr Begehren im Zeitpunkt der Ge-suchseinreichung nicht aussichtslos erscheint. Als bedürftig im Sinne des Gesetzes gelten dabei Personen, die nicht in der Lage sind, für die Pro-zesskosten aufzukommen, ohne dass sie Mittel beanspruchen müssten, die zur Deckung des Grundbedarfs für sie und ihre Familie notwendig sind (BGE 128 I 225 E. 2.5.1 S. 232; 127 I 202 E. 3.b S. 205). Die prozessuale Bedürftigkeit beurteilt sich nach der gesamten wirtschaftlichen Situation des Rechtssuchenden (BGE 124 I 1 E. 2a S. 2 f. m.H.). Der Nachweis der Bedürftigkeit obliegt der Partei (Urteil des BGer 2A.502/2006 vom 4. Ja-nuar 2007 E. 4.1).</w:t>
      </w:r>
    </w:p>
    <w:p>
      <w:r>
        <w:rPr>
          <w:b/>
        </w:rPr>
        <w:t>E. 8.3</w:t>
      </w:r>
    </w:p>
    <w:p>
      <w:r>
        <w:t>Das Begehren des Beschwerdeführers war nicht aussichtslos und die Bedürftigkeit wurde nachgewiesen. Demzufolge ist das Gesuch um Gewährung der unentgeltlichen Prozessführung gutzuheissen.</w:t>
      </w:r>
    </w:p>
    <w:p>
      <w:r>
        <w:rPr>
          <w:b/>
        </w:rPr>
        <w:t>E. 8.4</w:t>
      </w:r>
    </w:p>
    <w:p>
      <w:r>
        <w:t>Entsprechend dem Ausgang des Verfahrens wären dem Beschwerde-führerin grundsätzlich die ermässigten Verfahrenskosten aufzuerlegen (vgl. Art. 63 Abs. 1 VwVG i.V.m. Art. 1, Art. 2 und Art. 3 Bst. b des Regle-ments vom 21.Februar 2008 über die Kosten und Entschädigungen vor dem Bundesverwaltungsgericht [VGKE, SR 173.320.2]). Aufgrund der Ge-währung der unentgeltlichen Verfahrensführung gemäss Art. 65 Abs. 1 VwVG sind vorliegend jedoch keine Kosten zu erheben (vgl. Art. 63 Abs. 1 und Abs. 2 VwVG).</w:t>
      </w:r>
    </w:p>
    <w:p>
      <w:r>
        <w:rPr>
          <w:b/>
        </w:rPr>
        <w:t>E. 8.5</w:t>
      </w:r>
    </w:p>
    <w:p>
      <w:r>
        <w:t>Für die dem Beschwerdeführer erwachsenen notwendigen Kosten ist ihm im Umfang des Obsiegens eine gekürzte Parteientschädigung zu Lasten der Vorinstanz zuzusprechen (vgl. Art. 64 Abs. 1 und Abs. 2 VwVG). Für den darüber hinausgehenden notwendigen Aufwand ist die als amtliche Anwältin eingesetzte Rechtsvertreterin aus der Gerichtskasse zu entschädigen (vgl. Art. 12 VGKE). Das Gericht setzt die Parteientschädigung und die Entschädigung für die amtlich bestellten Anwältinnen und Anwälte aufgrund der Kostennote fest (14 Abs. 2 VGKE).</w:t>
      </w:r>
    </w:p>
    <w:p>
      <w:r>
        <w:rPr>
          <w:b/>
        </w:rPr>
        <w:t>E. 8.6</w:t>
      </w:r>
    </w:p>
    <w:p>
      <w:r>
        <w:t>In ihrer Kostennote vom 8. Juli 2016 machte die Rechtsvertreterin eine Entschädigung von Fr. 4'482.50 zuzüglich Mehrwertsteuer von 8% (Fr. 358.60) geltend. Der Betrag setzt sich zusammen aus einem Anwaltshonorar von Fr. 4'347.50 sowie Auslagen von Fr. 135.-. Bei einem Zeitaufwand von 17.93 Stunden ergibt dies einem Stundenansatz von Fr. 242.50. Eine Mehrwertsteuer ist nicht auszurichten, da der Wohnsitz des Beschwerdeführers als Empfänger der anwaltlichen Dienstleistung im Ausland liegt (Art. 1 Abs. 2 i.V.m. Art. 8 Abs. 1 und 18 Abs. 1 MWSTG [SR 641.20] sowie Art. 9 Abs. 1 Bst. c VGKE; vgl. auch Urteil des BVGer F-3638/2016 vom 20. Dezember 2016 E. 8). Die vorliegende Auseinandersetzung war weder in tatsächlicher noch in rechtlicher Hinsicht sonderlich komplex. Der für die Beschwerdeschrift insgesamt veranschlagte Aufwand von 17.93 Stunden erscheint deshalb als zu hoch. Auch im Rahmen der Beantwortung der Vernehmlassungen der Vorinstanz wurde angesichts der repetitiven Vorbringen ein überhöhter Zeitaufwand angeführt. Insgesamt erscheinen 8 anstelle der geltend gemachten 17.93 Stunden angesichts der Schwierigkeit der Streitsache sowie der sich daraus ergebenden rechtlichen und tatsächlichen Abklärungen als angemessen. Bei einem Stundenansatz von Fr. 200.- in vergleichbaren Fällen ist die Parteientschädigung inkl. Auslagen deshalb auf Fr. 1'800.- festzusetzen (Art. 8, 9, 10 und 14 VGKE). Hinsichtlich der unentgeltlichen Rechtspflege ist der Beschwerdeführer auf seine Rückerstattungspflicht gemäss Art. 65 Abs. 4 VwVG hinzuweisen.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