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F-627/2021 vom 15. Dezember 2022</w:t>
      </w:r>
    </w:p>
    <w:p>
      <w:r>
        <w:t>Bundesverwaltungsgericht, 2022-12-15, DE</w:t>
      </w:r>
    </w:p>
    <w:p>
      <w:r>
        <w:rPr>
          <w:b/>
        </w:rPr>
        <w:t xml:space="preserve">Quelle: </w:t>
      </w:r>
      <w:r>
        <w:t>https://mcp.opencaselaw.ch/entscheid/bvger_F-627_2021</w:t>
      </w:r>
    </w:p>
    <w:p>
      <w:r>
        <w:t>FR: TAF F-627/2021 du 15 décembre 2022</w:t>
      </w:r>
    </w:p>
    <w:p>
      <w:r>
        <w:t>IT: TAF F-627/2021 del 15 dicembre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Adressatin der angefochtenen Verfügung, welche ein schutzwürdiges Interesse an deren Änderung oder Aufhebung besitzt, zur Erhebung der Beschwerde in eigener Sache legitimiert (Art. 19 Abs. 2 StAhiG, Art. 48 Abs. 1 VwVG). Auf die frist- und formgerecht eingereichte Beschwerde ist - unter Vorbehalt von E. 1.3.1 f. nachstehend - einzutreten (Art. 50 Abs. 1 VwVG; Art. 52 Abs. 1 VwVG).</w:t>
      </w:r>
    </w:p>
    <w:p>
      <w:r>
        <w:rPr>
          <w:b/>
        </w:rPr>
        <w:t>E. 1.3.1</w:t>
      </w:r>
    </w:p>
    <w:p>
      <w:r>
        <w:t>In diesem Kontext ist in der gebotenen Kürze auf die von der ESTV in der Vernehmlassung vom 2. Juni 2021 aufgeworfene «Vorbemerkung» einzugehen, inwieweit die Beschwerdeführerin zu Gunsten von A._______ intervenieren könne. Die ESTV bringt vor, es sei nicht ersichtlich, inwieweit die Beschwerdeführerin von einer Weitergabe der Daten betreffend A._______ an die DGFP in ihren eigenen Interessen betroffen wäre. Es stelle sich die Frage, ob die Argumentation der Beschwerdeführerin zulässig sei und darauf überhaupt näher einzugehen sei.</w:t>
      </w:r>
    </w:p>
    <w:p>
      <w:r>
        <w:rPr>
          <w:b/>
        </w:rPr>
        <w:t>E. 1.3.2</w:t>
      </w:r>
    </w:p>
    <w:p>
      <w:r>
        <w:t>Im vorliegenden Fall sind sowohl die Beschwerdeführerin als auch A._______ im Rubrum der Schlussverfügung vom 8. Januar 2021 genannt. A._______ verzichtete allerdings darauf, dagegen in eigenem Namen Beschwerde zu erheben. Eine Drittbeschwerde pro Adressat bzw. entsprechende (einzelne) Rechtsbegehren seitens der Beschwerdeführerin würden voraussetzen, dass ihr durch den streitigen Verwaltungsakt ein unmittelbarer Nachteil erwächst (BGE 146 I 172 E. 7.1.2; 137 III 67 E. 3.5). Soweit die Beschwerdeführerin mit ihren Vorbringen ausschliesslich die Interessen von A._______ geltend macht, ist auf die entsprechenden Anträge daher nicht einzutreten (vgl. BGE 139 II 404 E. 11.1; 137 IV 134 E.5.2.2; Urteil des BGer 2C_1037/2019 vom 27. August 2020 E. 6.2 [nicht publ. in BGE 147 II 116]; Urteile des BVGer A-1171/2021 vom 6. Juli 2022 E. 5.2.3; A-660/2010 vom 12. August 2011 E. 1.1.3 f.). Darauf ist im Folgenden an entsprechender Stelle hinzuweisen.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3.2.2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6</w:t>
      </w:r>
    </w:p>
    <w:p>
      <w:r>
        <w:t>Die Beschwerdeführerin bringt vor, sie sei eine Stiftung mit Sitz in Y._______, Z._______. In den zu übermittelnden Bankinformationen werde sie als Kontoinhaberin aufgeführt. Weiter werde darin A._______ (betroffene Person 2 der Schlussverfügung vom 8. Januar 2021) - neben sechs weiteren betroffenen Personen mit Domizil in Frankreich - als «beneficial owner» aufgelistet. Deren Erfassung als wirtschaftlich Berechtigte an den Konten für den massgeblichen Zeitraum sei jedoch falsch beziehungsweise beruhe auf einem bankinternen Dokumentationsmangel. A._______ habe mit handschriftlichem und unterzeichnetem Schreiben vom 20. November 2009 an ihren (Beschwerdeführerin) Stiftungsrat, und somit vor dem ersuchten Zeitraum vom 1. Januar 2010 bis 31. Dezember 2015, mit sofortiger Wirkung und endgültig auf ihre jährliche Rente von Fr. (...) verzichtet (Akten des Bundesverwaltungsgerichts [BVGer-act.], Beschwerdebeilage 53 zu BVGer-act. 1). Die Verzichtserklärung sei seitens der UBS visiert und mit einem Stempel versehen worden, was belege, dass diese effektiv von A._______ stamme. Die an den Stiftungsrat adressierte Verzichtserklärung sei somit der UBS beziehungsweise deren Konzerngesellschaft B._______, welche selbst bis Ende 2011 Mitglied ihres Stiftungsrates gewesen sei, noch im Jahr 2009 zugegangen, zumal die Verzichtserklärung eineinhalb Monate vor Jahresende in W._______, wo die UBS damals über eine Zweigniederlassung verfügt habe, unterzeichnet worden sei. Ferner habe die UBS die zum formellen Nachvollzug der Verzichtserklärung erforderlichen Stiftungsdokumente (Stiftungsratsbeschluss und Instruktion an die UBS, den Dauerauftrag zur Auszahlung der Rente zu annullieren) vorbereitet. Mit Beschluss des Stiftungsrates vom 18. Januar 2010 sei sodann bestätigt worden, dass die A._______ vormals zustehende jährliche Rente ab Ende 2009 nicht mehr ausbezahlt werde (Beschwerdebeilage 58 zu BVGer-act. 1). Zusammen mit der unterzeichneten Annullierungsinstruktion betreffend den Dauerauftrag sei dieser am 18. Januar 2010 an die UBS retourniert worden (Beschwerdebeilagen 59 und 60 zu BVGer-act. 1). Mit Schreiben vom 28. Juni 2010 habe die UBS schliesslich der C._______, der (...) Treuhänderin der Beschwerdeführerin, das Formular A zur Unterschrift übermittelt. Das angepasste Formular A, welches A._______ nicht mehr als Begünstigte aufführe, sei der UBS am 5. Juli 2010 unterzeichnet retourniert worden (Beschwerdebeilagen 61 und 62 zu BVGer-act. 1). Die A._______ betreffenden Informationen seien daher weder vom Amtshilfeersuchen der DGFP noch vom zeitlichen Anwendungsbereich der Amtshilfe gemäss Art. 28 Abs. 1 DBA CH-FR erfasst. Dem vorliegenden Amtshilfeersuchen fehle es damit sowohl an einem formellen Ersuchen als auch einer Rechtsgrundlage für die Amtshilfe, weshalb die Schlussverfügung der ESTV aufzuheben sei. Würden die Informationen dennoch übermittelt, liefe dies auf eine rechtlich unzulässige rückwirkende Anwendung der Amtshilfe für Steuerjahre vor 2010 hinaus. Da A._______ mangels wirtschaftlicher Berechtigung an den vorliegenden Konten auch keine französischen Steuerfolgen resultieren könnten, seien die sie betreffenden Informationen auch nicht voraussichtlich erheblich. Schliesslich seien diese unrechtmässig bearbeiteten Personendaten gemäss Bundesgesetz über den Datenschutz (DSG, SR 235.1) zu berichtigen beziehungsweise zu vernichten.</w:t>
      </w:r>
    </w:p>
    <w:p>
      <w:r>
        <w:rPr>
          <w:b/>
        </w:rPr>
        <w:t>E. 7.1</w:t>
      </w:r>
    </w:p>
    <w:p>
      <w:r>
        <w:t>Gestützt auf Art. 11 Abs. 3 des Zusatzabkommens kann die Amtshilfe für den Zeitraum ab dem 1. Januar 2010 gewährt werden (vgl. E. 3). Zwar ist aufgrund der eingereichten Unterlagen nicht auszuschliessen, dass A._______ im Jahr 2010 beziehungsweise im von der DGFP im Amtshilfeersuchen erwähnten Besteuerungszeitraum von 2010 bis 2015 möglicherweise nicht mehr wirtschaftlich an den fraglichen Konten berechtigt war. Die Beschwerdeführerin vermag daraus jedoch nichts zu ihren Gunsten abzuleiten: Aus den Bankunterlagen geht A._______ im ersuchten Zeitraum unbestrittenermassen als wirtschaftlich Berechtigte hervor beziehungsweise befindet sich auf den UBS-Listen. Entgegen ihrer Ansicht ist nicht ersichtlich, dass die Bank ihre Daten früher hätte aktualisieren müssen und A._______ nur aufgrund eines bankinternen Dokumentationsmangels als wirtschaftlich Berechtigte erscheint. Wie die Beschwerdeführerin selbst darlegt, wurde das Formular A, welches A._______ erstmals nicht mehr als wirtschaftlich Berechtigte aufführt, erst am 5. Juli 2010 angepasst. Auch der Stiftungsratsbeschluss sowie die Instruktion betreffend Annullierung des Dauerauftrags wurden der UBS erst am 18. Januar 2010 zugestellt. Der Auffassung der Beschwerdeführerin, wonach die Bank den Verzicht aufgrund von ihr in diesem Zusammenhang erbrachten Dienstleistungen und der Mitgliedschaft einer ihrer Konzerngesellschaften im Stiftungsrat bereits im Jahr 2009 zur Kenntnis genommen haben musste, kann nicht gefolgt werden. Sie hat sich damit den Inhalt der Bankunterlagen zurechnen zu lassen.</w:t>
      </w:r>
    </w:p>
    <w:p>
      <w:r>
        <w:rPr>
          <w:b/>
        </w:rPr>
        <w:t>E. 7.2</w:t>
      </w:r>
    </w:p>
    <w:p>
      <w:r>
        <w:t>Es bleibt dabei, dass die zum Nachvollzug der erloschenen Begünstigtenstellung von A._______ erforderlichen Unterlagen anfangs Jahr 2010 bei der UBS noch nicht vorlagen. Demnach hat die Bank die vorliegend strittigen Informationen zu Recht gemeldet; sie fallen in den zeitlichen Anwendungsbereich des DBA CH-FR und sind entsprechend vom Ersuchen der DGFP erfasst. Von einer unzulässigen Rückwirkung kann nach dem Gesagten nicht gesprochen werden.</w:t>
      </w:r>
    </w:p>
    <w:p>
      <w:r>
        <w:rPr>
          <w:b/>
        </w:rPr>
        <w:t>E. 8</w:t>
      </w:r>
    </w:p>
    <w:p>
      <w:r>
        <w:t>Die voraussichtliche Erheblichkeit der verlangten Informationen hat das Bundesgericht im Rahmen von BGE 146 II 150 bejaht, in welchem es das Amtshilfeersuchen Frankreichs vom 11. Mai 2016 beurteilt und für zulässig erachtete (vgl. Sachverhalt Bst. E.c).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Nachdem bereits geklärt wurde, dass A._______ im massgeblichen Zeitraum an den betroffenen Konten zu Recht als wirtschaftlich Berechtigte dokumentiert war (E. 7) und die Beschwerdeführerin darüber hinaus keine individuellen Vorbringen für eine Amtshilfeverweigerung macht, ist von der voraussichtlichen Erheblichkeit der vorliegend zur Übermittlung vorgesehenen Informationen auszugehen.</w:t>
      </w:r>
    </w:p>
    <w:p>
      <w:r>
        <w:rPr>
          <w:b/>
        </w:rPr>
        <w:t>E. 9</w:t>
      </w:r>
    </w:p>
    <w:p>
      <w:r>
        <w:t>Die Beschwerdeführerin macht ferner geltend, die Datenbearbeitung verstosse aufgrund der unzutreffenden Erfassung von A._______ als wirtschaftlich Berechtigte gegen Art. 4 Abs. 1 und Art. 5 Abs. 1 DSG.</w:t>
      </w:r>
    </w:p>
    <w:p>
      <w:r>
        <w:rPr>
          <w:b/>
        </w:rPr>
        <w:t>E. 9.1</w:t>
      </w:r>
    </w:p>
    <w:p>
      <w:r>
        <w:t>Gemäss Art. 4 Abs. 1 DSG muss die Bearbeitung von Personendaten rechtmässig sein. Organe des Bundes dürfen laut dem DSG Personendaten bearbeiten und bekanntgeben, wenn dafür eine gesetzliche Grundlage besteht; besonders schützenswerte Personendaten dürfen sie nur dann bearbeiten, wenn ein Gesetz im formellen Sinn dies ausdrücklich vorsieht. (BVGE 2015/13 E. 3.3.2). Unrechtmässig bearbeitete Personendaten sind gestützt auf Art. 4, Art. 5 Abs. 1 und Art. 25 Abs. 3 Bst. a DSG zu vernichten.</w:t>
      </w:r>
    </w:p>
    <w:p>
      <w:r>
        <w:rPr>
          <w:b/>
        </w:rPr>
        <w:t>E. 9.2</w:t>
      </w:r>
    </w:p>
    <w:p>
      <w:r>
        <w:t>Es kann vorliegend offen bleiben, ob das DSG mit dessen Art. 4 und 5 (neben dem StAhiG) überhaupt anwendbar ist (vgl. dazu BVGE 2015/13 E. 3.2). Die Beschwerdeführerin würde nämlich mit dem hier genannten Vorbringen auch dann ins Leere stossen, wenn dies der Fall wäre: Dass im vorliegenden Fall grundsätzlich eine genügende gesetzliche Grundlage für die Erhebung von Daten im Amtshilfeverfahren besteht (vgl. Art. 28 DBA CH-FR, Art. 8 ff. StAhiG), wird von der Beschwerdeführerin nicht in Frage gestellt. Die Datenbearbeitung würde sich sodann auch im konkreten Fall als rechtmässig erweisen, da nach den vorstehenden Erwägungen die Voraussetzungen des Amtshilfeersuchens (auch) hinsichtlich der A._______ betreffenden Daten erfüllt sind (A._______ hat die sie betreffende Schlussverfügung der ESTV nicht angefochten). Der Antrag auf Berichtigung beziehungsweise Löschung und Vernichtung der Informationen betreffend A._______ ist damit abzuweisen, soweit darauf einzutreten ist (vgl. E. 1.3.1 f.).</w:t>
      </w:r>
    </w:p>
    <w:p>
      <w:r>
        <w:rPr>
          <w:b/>
        </w:rPr>
        <w:t>E. 10</w:t>
      </w:r>
    </w:p>
    <w:p>
      <w:r>
        <w:t>In ihrem Eventualantrag ersucht die Beschwerdeführerin schliesslich darum, die zu übermittelnden Informationen betreffend A._______ seien zu schwärzen. Dies wiederum mit der Begründung, die ersuchten Informationen seien nicht vom Amtshilfeersuchen erfasst, entbehrten einer Rechtsgrundlage und seien auch nicht voraussichtlich erheblich. Unter Verweis auf die Erwägungen 1.3.1 f. sowie 7 und 8 ist der Eventualantrag abzuweisen, soweit darauf einzutreten ist.</w:t>
      </w:r>
    </w:p>
    <w:p>
      <w:r>
        <w:rPr>
          <w:b/>
        </w:rPr>
        <w:t>E. 11</w:t>
      </w:r>
    </w:p>
    <w:p>
      <w:r>
        <w:t>Nach dem Gesagten sind die Voraussetzungen für die in der Schlussverfügung vorgesehene Amtshilfeleistung erfüllt. Die Beschwerde ist abzuweisen, soweit darauf einzutreten ist.</w:t>
      </w:r>
    </w:p>
    <w:p>
      <w:r>
        <w:rPr>
          <w:b/>
        </w:rPr>
        <w:t>E. 12</w:t>
      </w:r>
    </w:p>
    <w:p>
      <w:r>
        <w:t>Zu befinden bleibt damit über den Verfahrensantrag der Beschwerdeführerin, wonach in jeglichen Veröffentlichungen des vorliegenden Urteils sämtliche Namen, Adressangaben, Kontoinformationen und sämtliche weitere mit der Beschwerdeführerin und weiteren betroffenen Person zusammenhängenden Informationen zu anonymisieren seien.</w:t>
      </w:r>
    </w:p>
    <w:p>
      <w:r>
        <w:rPr>
          <w:b/>
        </w:rPr>
        <w:t>E. 12.1</w:t>
      </w:r>
    </w:p>
    <w:p>
      <w:r>
        <w:t>Die Anonymisierung von Urteilen im Bereich der internationalen Amtshilfe in Steuersachen entspricht der Praxis des Bundesverwaltungsgerichts (vgl. Art. 8 Abs. 1 des Informationsreglements für das Bundesverwaltungsgericht vom 21. Februar 2008 [SR 173.320.4]). Dem entsprechenden Antrag der Beschwerdeführerin ist pro forma stattzugeben und im Übrigen dahingehend Rechnung zu tragen, als auch die öffentliche Auflage des vorliegenden Urteils in anonymisierter Form zu erfolgen hat (Art. 4 Abs. 1 und 2 Informationsreglement; vgl. Urteile des BVGer A-1275/2018 vom 23. Mai 2019 E. 7.4; A-197/2018 vom 2. Mai 2018 E. 7 m.w.H.).</w:t>
      </w:r>
    </w:p>
    <w:p>
      <w:r>
        <w:rPr>
          <w:b/>
        </w:rPr>
        <w:t>E. 13.1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13.2</w:t>
      </w:r>
    </w:p>
    <w:p>
      <w:r>
        <w:t>Der unterliegenden Beschwerdeführerin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