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F-6274/2018 vom 3. Oktober 2019</w:t>
      </w:r>
    </w:p>
    <w:p>
      <w:r>
        <w:t>Bundesverwaltungsgericht, 2019-10-03, FR</w:t>
      </w:r>
    </w:p>
    <w:p>
      <w:r>
        <w:rPr>
          <w:b/>
        </w:rPr>
        <w:t xml:space="preserve">Quelle: </w:t>
      </w:r>
      <w:r>
        <w:t>https://mcp.opencaselaw.ch/entscheid/bvger_F-6274_2018</w:t>
      </w:r>
    </w:p>
    <w:p>
      <w:r>
        <w:t>FR: TAF F-6274/2018 du 3 octobre 2019</w:t>
      </w:r>
    </w:p>
    <w:p>
      <w:r>
        <w:t>IT: TAF F-6274/2018 del 3 ottobre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devant le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L'invitante a participé à la procédure devant l'autorité inférieure, est spécialement atteinte par la décision attaquée et conserve un intérêt digne de protection à la présente procédure de recours (cf. art. 48 al. 1 PA ; cf., dans ce sens, arrêt du TAF F-3979/2017 du 13 août 2018 consid. 1.3). Présenté dans la forme et les délais prescrits par la loi, le recours introduit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 du TAF F-1866/2019 du 10 juillet 2019 consid. 3 et les réf. cit.). Par ailleurs, il convient de relever que l'ancienne ordonnance du 22 octobre 2008 sur l'entrée et l'octroi de visas (aOEV, RO 2008 3087) a été remaniée et remplacée par l'ordonnance du 15 août 2018 sur l'entrée et l'octroi de visas (OEV, RS 142.204), entrée en vigueur le 15 septembre 2018. Or, en vertu des art. 70 et 71 OEV, la nouvelle ordonnance est applicable aux procédures pendantes lors de son entrée en vigueur (cf. ATAF 2018 VII/5 consid. 3.3). Dès lors que la décision attaquée a été rendue le 17 septembre 2018, soit après l'entrée en vigueur de la modification législative précitée, l'OEV dans sa nouvelle teneur est applicable en l'espèce.</w:t>
      </w:r>
    </w:p>
    <w:p>
      <w:r>
        <w:rPr>
          <w:b/>
        </w:rPr>
        <w:t>E. 4.1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F-1649/2018 du 8 mai 2019 consid. 4.1, et réf. cit.). Cela étant,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w:t>
      </w:r>
    </w:p>
    <w:p>
      <w:r>
        <w:rPr>
          <w:b/>
        </w:rPr>
        <w:t>E. 4.2</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ou de droit à l'octroi d'un visa (cf. ATAF 2014/1 consid. 4.1.1 et 4.1.5 et ATAF 2011/48 consid. 4.1).</w:t>
      </w:r>
    </w:p>
    <w:p>
      <w:r>
        <w:rPr>
          <w:b/>
        </w:rPr>
        <w:t>E. 4.3</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1- 52], modifié par le Règlement (UE) 2017/458 du 15 mars 2017,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En tant que ressortissants marocains, les invités sont soumis à une telle obligation.</w:t>
      </w:r>
    </w:p>
    <w:p>
      <w:r>
        <w:rPr>
          <w:b/>
        </w:rPr>
        <w:t>E. 5.1</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5.2</w:t>
      </w:r>
    </w:p>
    <w:p>
      <w:r>
        <w:t>S'agissant de la situation économique et sociale au Maroc, on relèvera que, selon les données de la Banque mondiale, le produit intérieur brut (PIB) par habitant s'élevait pour le Maroc à 3'237,9 USD en 2018, alors que celui de la Suisse s'élevait à la même période à 82'838,9 USD, le premier demeurant ainsi très en dessous des standards européens ($ US courants ; cf. site de la Banque mondiale : https://donnees.banquemondiale.org/indicateur/NY.GDP.PCAP.CD?locations=CH-MA, consulté en septembre 2019). Enfin, selon les valeurs de 2018, l'indice de développement humain (IDH), qui prend en compte la santé, l'éducation et le revenu des personnes, classe le Maroc au 123e rang sur 189 Etats (cf. Rapport sur le développement humain 2018, consultable sur le site du Programme des Nations Unies pour le développement [PNUD] : http://hdr.undp.org/ en/2018-update, consulté en septembre 2019). Dès lors, les conditions socio-économiques au Maroc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fille des invités étant domiciliée en Suisse (cf. ATAF 2014/1 consid. 6.2.2 ; notamment arrêt du TAF F-1866/2019 précité consid. 8.3). L'autorité ne saurait toutefois se fonder sur la seule situation prévalant dans le pays de provenance des intéressés pour conclure à l'absence de garantie quant à leur sortie de Suisse, mais doit également prendre en considération les particularités du cas d'espèce (cf. ATAF 2009/27 consid. 7 et 8).</w:t>
      </w:r>
    </w:p>
    <w:p>
      <w:r>
        <w:rPr>
          <w:b/>
        </w:rPr>
        <w:t>E. 6.1</w:t>
      </w:r>
    </w:p>
    <w:p>
      <w:r>
        <w:t>Selon la jurisprudence, lorsque la personne invitée assume d'importantes responsabilités dans son pays d'origine, au plan professionnel, familial 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TAF F-6507/2017 du 6 mai 2019 consid. 9.1 et référence citée). Il convient dès lors d'examiner si la situation personnelle, familiale, professionnelle et patrimoniale de la partie requérante plaide en faveur de sa sortie ponctuelle de Suisse, respectivement de l'Espace Schengen, au terme du séjour envisagé.</w:t>
      </w:r>
    </w:p>
    <w:p>
      <w:r>
        <w:rPr>
          <w:b/>
        </w:rPr>
        <w:t>E. 6.2</w:t>
      </w:r>
    </w:p>
    <w:p>
      <w:r>
        <w:t>En l'occurrence, les invités sont retraités et âgés respectivement de 84 et 71 ans. Ils vivent actuellement à X._____ au Maroc. Cinq de leurs enfants majeurs habiteraient également dans ce pays (cf. demandes de visas Schengen des invités [pce SEM Act. 3 et 4]). Dans la mesure où l'autorité inférieure invoque les conditions économiques difficiles au Maroc et la forte pression migratoire qui en résulte, il convient de noter qu'en raison de leur âge, les personnes invitées n'appartiennent pas au groupe de personnes qui représentent le plus grand risque migratoire (cf. ATAF 2019 VII/1 consid. 8.1 ; www.sem.admin.ch Publications &amp; services Statistiques Statistiques en matière d'asile 2018 Commentaire sur la statistique en matière d'asile 2018, p. 13 graphique 7 : requérants selon le sexe et la classe d'âge [excepté les personnes admises à titre provisoire]). En outre, ils désirent rendre visite à leur fille en Suisse, ce qui est un motif tout à fait compréhensible.</w:t>
      </w:r>
    </w:p>
    <w:p>
      <w:r>
        <w:rPr>
          <w:b/>
        </w:rPr>
        <w:t>E. 6.3</w:t>
      </w:r>
    </w:p>
    <w:p>
      <w:r>
        <w:t>Parle cependant en défaveur des intéressés le fait que seul l'invité reçoit une pension mensuelle et que celle-ci est sensiblement inférieure au salaire moyen enregistré au Maroc en mai 2019. En effet, il perçoit un montant plus de dix fois moins important que le salaire moyen au Maroc, soit 200 dirham marocains (pce TAF 1 annexe 3) contre 3'429 dirham marocains (voir le site https://www.combien-coute.net/salaire-moyen/maroc/marrakech/, consulté en septembre 2019). Ensuite, on note que le Tribunal, par ordonnance du 13 août 2019 (pce TAF 8), a invité A._______ à produire des moyens de preuve et informations complémentaires dont notamment une lettre de la fille des invités confirmant sa volonté de revoir ses parents (cf. supra let. H). Or cette ordonnance - qui est réputée avoir été notifiée 7 jours après le dépôt de l'avis de retrait (cf. arrêt du Tribunal fédéral 2C_610/2016 du 6 septembre 2016 consid. 3) - est restée sans réponse (cf. supra Let. H). Il s'ensuit que de nombreux éléments n'ont pas été suffisamment éclaircis (tels que le nom de la fille des invités, l'intensité des liens unissant la fille à ses parents et la nature des liens qui unissent A._______ aux requérants), ce qui influence négativement l'appréciation du dossier. De plus, bien que les invités aient cinq enfants au Maroc, il ne ressort ni des formulaires de demandes de visas ni des pièces fournies ultérieurement par les intéressés que ces derniers auraient des personnes à leur charge. Aucun élément dans le dossier ne semble d'ailleurs indiquer que les invités aient des engagements particuliers dans leur pays d'origine qui, constituant une attache forte, détourneraient les intéressés d'une émigration dans le but de trouver de meilleures conditions de vie. Le Tribunal note également qu'en raison de leur âge avancé, les invités pourraient souffrir de problèmes de santé lors de leur visite, ce qui serait susceptible de constituer le cas échéant un motif, même involontaire, de prolongation de leur séjour au-delà de la date de validité de leur visas (cf. ATAF 2019 VII/1 consid. 8.1). Par ailleurs, ils n'ont, jusqu'à présent, apparemment jamais voyagé dans l'Espace Schengen (pce SEM Act. 3 et 4), ce qui incite d'autant plus à la prudence dans cette affaire. Dans ce contexte, on précisera que le fait que les invités n'obtiennent pas de visas pour rendre visite à leur fille en Suisse ne les empêche pas de maintenir des relations, ceux-ci pouvant se rencontrer hors de Suisse.</w:t>
      </w:r>
    </w:p>
    <w:p>
      <w:r>
        <w:rPr>
          <w:b/>
        </w:rPr>
        <w:t>E. 6.4</w:t>
      </w:r>
    </w:p>
    <w:p>
      <w:r>
        <w:t>Au vu de ce qui précède, le Tribunal considère, à ce jour, que le retour des invités dans leur patrie au terme de l'autorisation requise n'est pas suffisamment assuré et que c'est donc de manière fondée que l'autorité inférieure a écarté l'opposition en cause et confirmé le refus de leur octroyer une autorisation d'entrée dans l'Espace Schengen. En outre, le Tribunal constate que le dossier ne laisse pas apparaître de motifs susceptibles de justifier la délivrance en faveur des invités de visas à validité territoriale limitée (cf. consid. 4.4 supra).</w:t>
      </w:r>
    </w:p>
    <w:p>
      <w:r>
        <w:rPr>
          <w:b/>
        </w:rPr>
        <w:t>E. 7</w:t>
      </w:r>
    </w:p>
    <w:p>
      <w:r>
        <w:t>Il s'ensuit que, par sa décision du 17 septembre 2018, l'autorité intimée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La recourante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