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F-6272/2023 vom 6. März 2026</w:t>
      </w:r>
    </w:p>
    <w:p>
      <w:r>
        <w:t>Bundesverwaltungsgericht, 2026-03-06, FR</w:t>
      </w:r>
    </w:p>
    <w:p>
      <w:r>
        <w:rPr>
          <w:b/>
        </w:rPr>
        <w:t xml:space="preserve">Quelle: </w:t>
      </w:r>
      <w:r>
        <w:t>https://mcp.opencaselaw.ch/entscheid/bvger_F-6272_2023</w:t>
      </w:r>
    </w:p>
    <w:p>
      <w:r>
        <w:t>FR: TAF F-6272/2023 du 6 mars 2026</w:t>
      </w:r>
    </w:p>
    <w:p>
      <w:r>
        <w:t>IT: TAF F-6272/2023 del 6 marzo 2026</w:t>
      </w:r>
    </w:p>
    <w:p>
      <w:pPr>
        <w:pStyle w:val="Heading2"/>
      </w:pPr>
      <w:r>
        <w:t>Regeste</w:t>
      </w:r>
    </w:p>
    <w:p>
      <w:r>
        <w:t>Cas individuels d'une extrême gravité</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(art. 33 let. d LTAF) sont susceptibles de recours au Tribunal, qui statue de manière définitive (cf. art. 1 al. 2 LTAF en lien avec l'art. 83 let. c ch. 2 et 5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w:t>
      </w:r>
    </w:p>
    <w:p>
      <w:r>
        <w:t>3.1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SPOP a soumis sa décision à l'approbation du SEM en conformité avec la législation et la jurisprudence (cf. art. 85 OASA et art. 5 let. d de l'ordonnance du DFJP du 13 août 2015 relative aux autorisations et aux décisions préalables dans le domaine du droit des étrangers soumises à la procédure d'approbation ; cf. ATF 141 II 169 consid. 4). Il s'ensuit que ni le SEM, ni a fortiori le Tribunal, ne sont liés par la proposition du SPOP du 3 avril 2023 d'octroyer une autorisation de séjour à l'intéressée et peuvent s'écarter de l'appréciation faite par cette autorité.</w:t>
      </w:r>
    </w:p>
    <w:p>
      <w:r>
        <w:rPr>
          <w:b/>
        </w:rPr>
        <w:t>E. 3.3</w:t>
      </w:r>
    </w:p>
    <w:p>
      <w:r>
        <w:t>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 voir également arrêt du TAF F-2369/2019 du 21 avril 2021 consid. 5.2).</w:t>
      </w:r>
    </w:p>
    <w:p>
      <w:r>
        <w:rPr>
          <w:b/>
        </w:rPr>
        <w:t>E. 4</w:t>
      </w:r>
    </w:p>
    <w:p>
      <w:r>
        <w:t>Il convient, dans un premier temps, d'examiner si la situation de la recourante peut être constitutive d'un cas d'extrême gravité au sens de l'art. 30 al. 1 let. b LEI.</w:t>
      </w:r>
    </w:p>
    <w:p>
      <w:r>
        <w:rPr>
          <w:b/>
        </w:rPr>
        <w:t>E. 4.1</w:t>
      </w:r>
    </w:p>
    <w:p>
      <w:r>
        <w:t>A titre préalable, il sied d'examiner le grief tiré d'une constatation inexacte ou incomplète des faits pertinents dont se prévaut la recourante. Cette dernière reproche à l'autorité intimée de n'avoir pas établi de manière complète l'état de ses attaches liées à la Suisse, sa situation financière et personnelle ainsi que son état de santé. Il apparaît toutefois que le SEM a pris en considération l'ensemble des pièces pertinentes qui ont été versées au dossier lorsqu'il s'est prononcé. La décision attaquée repose dès lors sur un état de fait établi de manière exacte et complète. Dans la mesure où la recourante remet en réalité en cause bien plutôt l'appréciation faite par le SEM des éléments précités, de sorte que ses arguments seront examinés avec le fond dans les considérants qui suivent.</w:t>
      </w:r>
    </w:p>
    <w:p>
      <w:r>
        <w:rPr>
          <w:b/>
        </w:rPr>
        <w:t>E. 4.2</w:t>
      </w:r>
    </w:p>
    <w:p>
      <w:r>
        <w:t>A teneur de l'art. 30 al. 1 let. b LEI, il est possible de déroger aux conditions d'admission (art. 18 à 29 LEI), notamment dans le but de tenir compte des cas individuels d'une extrême gravité ou d'intérêts publics majeurs. Il ressort de la formulation de l'art. 30 al. 1 let. b LEI, rédigé en la forme potestative, que la personne étrangère n'a aucun droit à l'octroi d'une dérogation aux conditions d'admission pour cas individuel d'une extrême gravité et, partant, à l'octroi d'une autorisation de séjour fondée sur cette disposition. Cette disposition constitue une disposition dérogatoire présentant un caractère exceptionnel. Cela signifie que ses conditions de vie et d'existence, comparées à celles applicables à la moyenne des personnes étrangères, doivent être mises en cause de manière accrue, autrement dit qu'une décision négative prise à son endroit comporte pour cette dernière de graves conséquences (cf., parmi d'autres, arrêt du TAF F-6199/2020 du 30 mai 2023 consid. 4). L'art. 31 al. 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w:t>
      </w:r>
    </w:p>
    <w:p>
      <w:r>
        <w:rPr>
          <w:b/>
        </w:rPr>
        <w:t>E. 4.3</w:t>
      </w:r>
    </w:p>
    <w:p>
      <w:r>
        <w:t>En l'espèce, la recourante, n'ayant jamais séjourné en Suisse, cette dernière ne peut manifestement pas se prévaloir d'une certaine durée de présence sur le territoire helvétique. A cet égard, le Tribunal relève que si cette dernière s'est certes rendue à quatre reprises en Suisse entre 2011 et 2022, ces passages en Suisse n'ont jamais excédé plus de deux semaines et s'effectuaient uniquement dans le cadre de visites familiales sans intention de s'établir sur sol helvétique. Les circonstances alléguées par l'intéressée, tels que la pandémie de Covid-19 et le conflit russo-ukrainien, qui auraient eu pour effet de restreindre ses déplacements, ne permettent par ailleurs pas de justifier l'absence de séjour en Suisse.</w:t>
      </w:r>
    </w:p>
    <w:p>
      <w:r>
        <w:rPr>
          <w:b/>
        </w:rPr>
        <w:t>E. 4.4</w:t>
      </w:r>
    </w:p>
    <w:p>
      <w:r>
        <w:t>En ce qui concerne l'intégration sociale de la recourante, il ne ressort pas du dossier que cette dernière se serait particulièrement intégrée en Suisse. Comme relevé ci-dessus, ses séjours avaient essentiellement pour but de rendre visite à sa famille. Il n'a pas été démontré qu'elle se serait spécialement familiarisée avec le mode de vie local, aurait noué des relations d'amitié ou encore se serait investie dans des activités culturelles ou associatives en Suisse. Il n'apparaît pas non plus que la recourante maîtriserait le français, ou une autre langue que celle de son pays d'origine du reste. En outre, malgré ses dénégations, l'intéressée a nécessairement conservé des attaches familiales et amicales dans son pays d'origine, vu qu'elle y a passé toute sa vie. Dans ces circonstances, cette dernière ne peut se prévaloir de liens particulièrement prononcés avec la Suisse.</w:t>
      </w:r>
    </w:p>
    <w:p>
      <w:r>
        <w:rPr>
          <w:b/>
        </w:rPr>
        <w:t>E. 4.5</w:t>
      </w:r>
    </w:p>
    <w:p>
      <w:r>
        <w:t>Sur le plan financier, on retiendra que la recourante est retraitée et qu'elle ne travaille pas, cette situation n'étant pas appelée à se modifier, cette dernière étant âgée de 62 ans. Le Tribunal relève que la rente de vieillesse que la recourante perçoit en Russie ne saurait couvrir ses besoins en Suisse, où cette dernière se trouverait ainsi tributaire de l'aide de sa fille et de l'époux de cette dernière. Quant à savoir si l'assistance financière apportée par sa fille serait déterminante au regard de l'indigence alléguée par la recourante (art. 3 par. 1 Annexe I ALCP) ou pourrait être constitutive d'un rapport de dépendance particulier couvert par le champ de protection de l'art. 8 CEDH, ces éléments seront traités aux considérants 5 et 6 ci-dessous.</w:t>
      </w:r>
    </w:p>
    <w:p>
      <w:r>
        <w:rPr>
          <w:b/>
        </w:rPr>
        <w:t>E. 4.6</w:t>
      </w:r>
    </w:p>
    <w:p>
      <w:r>
        <w:t>Enfin, on rappellera qu'il est attendu de toute personne étrangère désireuse de s'établir durablement en Suisse qu'elle ne commette pas d'infractions pénales. Leur absence, comme en l'espèce, ne constitue donc pas un élément extraordinaire en faveur d'une personne requérante (cf. arrêt du TF 2C_779/2016 du 13 septembre 2016 consid. 4.2).</w:t>
      </w:r>
    </w:p>
    <w:p>
      <w:r>
        <w:rPr>
          <w:b/>
        </w:rPr>
        <w:t>E. 4.7</w:t>
      </w:r>
    </w:p>
    <w:p>
      <w:r>
        <w:t>S'agissant du sentiment d'isolement allégué - si ce dernier a certes pu être exacerbé par les décès successifs de l'époux et du père de la recourante - il s'agit là d'une situation susceptible de concerner toute personne dont des membres de la famille ont émigré et ne saurait, en tant que telle, constituer un cas de rigueur. Comme relevé ci-avant, une dérogation aux conditions d'admission implique que les personnes étrangères se trouvent personnellement dans une situation particulièrement rigoureuse et n'a pas pour but de les soustraire aux conditions de vie de leur pays d'origine. Le fait, qu'à l'heure actuelle, les voyages vers la Russie pourraient s'avérer compliqués ne suffit pas non plus à modifier cette appréciation. Ainsi, la situation d'isolement de la recourante, aussi douloureuse soit-elle, ne suffit pas à consacrer un cas de rigueur.</w:t>
      </w:r>
    </w:p>
    <w:p>
      <w:r>
        <w:rPr>
          <w:b/>
        </w:rPr>
        <w:t>E. 4.8</w:t>
      </w:r>
    </w:p>
    <w:p>
      <w:r>
        <w:t>Sur le plan médical, la recourante fait valoir que l'impossibilité de rejoindre ses proches en Suisse engendrerait des conséquences négatives sur son état de santé. Elle a produit des certificats médicaux du 22 février 2023 desquels il ressort qu'elle souffre notamment de troubles psychiques se manifestant par un sentiment de tristesse, d'anxiété, de solitude, une fatigue chronique, des troubles du sommeil et une diminution de l'appétit. En outre, à l'appui d'un rapport médical du 7 septembre 2023, la recourante se prévaut du fait que son état de santé psychique aurait évolué défavorablement et que les traitements nécessaires à ses problèmes médicaux ne seraient pas disponibles en Russie. Les maladies mentales seraient perçues très négativement en Russie, ce qui la mettrait à risque d'être placée sous curatelle et/ou internée et la retiendrait de consulter un thérapeute. S'il ne s'agit pas de minimiser les problèmes psychiques indéniables dont souffre la recourante, son état de santé ne permet pas, en l'espèce, de considérer qu'elle souffre d'un handicap ou d'une maladie grave au sens de la jurisprudence restrictive en la matière (cf. ATAF 2020 VII/2 consid. 9.6.2 ; arrêt du TAF F-5351/2021 du 6 avril 2023 consid. 7.6.2). En effet, il convient de rappeler que seuls de graves problèmes de santé nécessitant, pendant une longue période, des soins permanents ou des mesures médicales d'urgence indisponibles dans le pays d'origine peuvent, selon les circonstances, justifier la reconnaissance d'une situation personnelle d'extrême gravité au sens de l'art. 31 al. 1 OASA. Par ailleurs, si le Tribunal reconnait que les personnes atteintes d'une maladie mentale peuvent parfois être stigmatisées, il fait sienne l'appréciation du SEM selon laquelle l'intéressée pourra, au vu du diagnostic établi, bénéficier d'infrastructures médicales adéquates en Russie. Comme relevé ci-dessus, cette dernière ne présente pas une sérieuse atteinte à sa santé qui nécessiterait des soins permanents ou des mesures médicales ponctuelles d'urgence. Pour rappel, le seul fait de pouvoir obtenir en Suisse des prestations médicales supérieures à celles offertes dans le pays d'origine ne suffit pas à justifier une dérogation aux conditions d'admission (cf. cf. ATAF 2020 VII/2 consid. 9.6.2 et les réf. citées). Par ailleurs, les problèmes psychiques engendrés par la crainte de voir définitivement perdues ses perspectives de vie en Suisse ne sont pas non plus susceptibles de justifier la reconnaissance d'un cas de rigueur. De telles réactions peuvent en effet être couramment observées chez les personnes dont la demande d'autorisation de séjour a été rejetée (cf. arrêt du TAF F-4145/2027 du 10 octobre 2018, consid. 5.5.4). En conséquence, le Tribunal estime que les problèmes de santé de la recourante ne justifient pas une dérogation aux conditions d'admission.</w:t>
      </w:r>
    </w:p>
    <w:p>
      <w:r>
        <w:rPr>
          <w:b/>
        </w:rPr>
        <w:t>E. 4.9</w:t>
      </w:r>
    </w:p>
    <w:p>
      <w:r>
        <w:t>Au regard de l'ensemble des éléments qui précèdent, il appert que la situation de la recourante n'est pas constitutive d'un cas de rigueur au sens de la jurisprudence restrictive en la matière.</w:t>
      </w:r>
    </w:p>
    <w:p>
      <w:r>
        <w:rPr>
          <w:b/>
        </w:rPr>
        <w:t>E. 5</w:t>
      </w:r>
    </w:p>
    <w:p>
      <w:r>
        <w:t>La recourante ne pouvant prétendre à une autorisation de séjour en application de l'art. 30 al. 1 let. b LEI, il reste à examiner si elle peut y prétendre en application d'une autre disposition. En effet, dans le cadre d'une procédure d'approbation, il convient d'examiner toutes les bases légales que le recourant a soulevées de façon suffisamment motivée ou qui entreraient logiquement en considération à l'aune des faits et pièces du dossier (cf. arrêt du TF 2C_800/2019 du 7 février 2020 consid. 3.3.4 s. ; ATAF 2020 VII/2 consid. 5). Il convient dès lors d'examiner si la recourante serait en mesure de prétendre à une autorisation de séjour en application de l'ALCP.</w:t>
      </w:r>
    </w:p>
    <w:p>
      <w:r>
        <w:rPr>
          <w:b/>
        </w:rPr>
        <w:t>E. 5.1</w:t>
      </w:r>
    </w:p>
    <w:p>
      <w:r>
        <w:t>En vertu de l'art. 3 par. 1 1ère phrase de l'Annexe I ALCP (en relation avec l'art. 7 let. d ALCP), les membres de la famille d'une personne ressortissant d'une partie contractante ayant un droit de séjour ont le droit de s'installer avec elle. Selon l'art. 3 par. 2 de l'Annexe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rPr>
          <w:b/>
        </w:rPr>
        <w:t>E. 5.2</w:t>
      </w:r>
    </w:p>
    <w:p>
      <w:r>
        <w:t>En l'espèce, la recourante, dont la fille en Suisse est au bénéfice de la double nationalité suisse et française, peut invoquer l'application de l'art. 3 par. 1 Annexe I ALCP (ATF 135 II 369 conisd. 2 p. 372 ; cf. aussi Hansjörg Seiler, Einfluss des europäischen Rechts und der europäischen Rechtsprechung auf die schweizerische Rechtspflege, in : RJB 150/2014 265, p. 281), pour autant qu'elle soit à charge.</w:t>
      </w:r>
    </w:p>
    <w:p>
      <w:r>
        <w:rPr>
          <w:b/>
        </w:rPr>
        <w:t>E. 5.3</w:t>
      </w:r>
    </w:p>
    <w:p>
      <w:r>
        <w:t>Sous cet angle, le Tribunal constate que, si des versements d'argent ont certes régulièrement été effectués par la fille de la recourante en faveur de cette dernière entre 2020 et 2022, aucune preuve n'a été fournie quant à la nécessité de leur affectation à la couverture des frais médicaux, ni même aux besoins vitaux de la recourante. Les sommes d'argent versées par la fille de cette dernière ont par ailleurs débuté avant le décès de son époux, ce qui tend à mettre en doute le caractère d'assistance de ces dernières. Sans nier les difficultés - du moins, personnelles - auxquelles la recourante est probablement confrontée depuis le décès de son époux, le Tribunal estime toutefois que cette dernière conserve une indépendance financière dans son pays d'origine. La rente qu'elle perçoit - certes minime - se situe au-dessus du montant du minimum vital en Russie (15'250 RUB pour les retraités au 1er janvier 2025, soit l'équivalent de CHF 150, cf. https://www.cleiss.fr/docs/regimes/regime_russie.html ; cf. aussi, Aleksandrova Anna, "Salaire minimum et revenu minimum vital en Russie", Revue de droit comparé du travail et de la sécurité sociale, 3 | 2023, 194-197). A cela s'ajoute le fait que la recourante et feu son époux sont - respectivement étaient - propriétaires de plusieurs biens immobiliers et que le solde des comptes de la recourante semble avoir drastiquement chuté à l'été 2022, soit au moment du dépôt de la demande d'autorisation. Du reste, l'argumentation de la recourante, selon laquelle les versements d'argent de la Suisse vers la Russie seraient bloqués en raison du conflit russo-ukrainien, ne se révèle pas déterminante. Si les voyages en Russie sont actuellement plus compliqués que par le passé, ils demeurent possibles, de sorte qu'une aide financière ponctuelle le serait également. Il ressort ainsi de ce qui précède que, malgré l'attestation de prise en charge financière produite par sa fille et l'époux de cette dernière, la recourante est en mesure d'assumer sa subsistance et n'est pas à charge de sa fille. Une autorisation de séjour en application des dispositions de l'ALCP ne saurait ainsi entrer en ligne de compte.</w:t>
      </w:r>
    </w:p>
    <w:p>
      <w:r>
        <w:rPr>
          <w:b/>
        </w:rPr>
        <w:t>E. 6</w:t>
      </w:r>
    </w:p>
    <w:p>
      <w:r>
        <w:t>La recourante se prévaut également d'un regroupement familial au sens de l'art. 8 CEDH en raison de sa situation personnelle et familiale. Elle fait valoir qu'elle vit désormais seule en Russie et que ses attaches familiales se trouveraient en Suisse auprès de sa fille et la famille de cette dernière. Elle se trouverait ainsi dans une situation de dépendance non seulement sur un plan financier mais également vital et social.</w:t>
      </w:r>
    </w:p>
    <w:p>
      <w:r>
        <w:rPr>
          <w:b/>
        </w:rPr>
        <w:t>E. 6.1</w:t>
      </w:r>
    </w:p>
    <w:p>
      <w:r>
        <w:t>La protection de la vie privée et familiale garantie par l'art. 8 CEDH vise en premier lieu les relations existant au sein de la « famille nucléaire » (« Kernfamilie ») et, plus particulièrement, « entre époux » et « entre parents et enfants mineurs » vivant en ménage commun (ATF 140 I 77 consid. 5.2). D'autres relations familiales, comme en l'espèce entre une mère et son enfant majeur, sont susceptibles de bénéficier de la même protection, dans la mesure où ces personnes présentent entre elles un lien de dépendance (cf. ATF 147 I 268 consid. 1.2.3 et 144 II 1 consid. 6.1).</w:t>
      </w:r>
    </w:p>
    <w:p>
      <w:r>
        <w:rPr>
          <w:b/>
        </w:rPr>
        <w:t>E. 6.2</w:t>
      </w:r>
    </w:p>
    <w:p>
      <w:r>
        <w:t>En l'espèce, la recourante ne parvient toutefois pas à démontrer qu'elle a effectivement besoin d'un soutien particulier de sa fille ou d'un tiers au regard de son état de santé. Les certificats médicaux produits en cours de procédure ne l'indiquent pas non plus. A ce titre, il est rappelé qu'un simple soutien moral ne suffit pas à fonder un rapport de dépendance au sens de la jurisprudence (cf. arrêts du TAF F-3430/2022 du 13 juin 2023 consid. 4.5 ; F-6208/2020 du 23 novembre 2022 consid. 4.3). Il n'apparaît ainsi pas que la présence de sa fille soit constitutive d'un lien de dépendance au sens de la jurisprudence restrictive en la matière. Enfin, selon la jurisprudence du Tribunal fédéral, l'assistance financière à un parent âgé n'est pas un motif permettant de se prévaloir de la protection l'art. 8 CEDH (cf. arrêt du Tribunal fédéral 2C_817/2010 du 24 mars 2011 consid. 4).</w:t>
      </w:r>
    </w:p>
    <w:p>
      <w:r>
        <w:rPr>
          <w:b/>
        </w:rPr>
        <w:t>E. 7</w:t>
      </w:r>
    </w:p>
    <w:p>
      <w:r>
        <w:t>Par sa décision du 16 octobre 2023, l'autorité intimée n'a ainsi ni violé le droit fédéral, ni constaté les faits pertinents de manière inexacte ou incomplète. En outre, cette décision n'est pas inopportune (art. 49 PA). Par conséquent, le recours est rejeté.</w:t>
      </w:r>
    </w:p>
    <w:p>
      <w:r>
        <w:rPr>
          <w:b/>
        </w:rPr>
        <w:t>E. 8</w:t>
      </w:r>
    </w:p>
    <w:p>
      <w:r>
        <w:t>8.1 Vu l'issue de la cause, il y a lieu de mettre les frais de procédure à la charge de la recourante, conformément à l'art. 63 al. 1 PA en relation avec les art. 1 ss FITAF.</w:t>
      </w:r>
    </w:p>
    <w:p>
      <w:r>
        <w:rPr>
          <w:b/>
        </w:rPr>
        <w:t>E. 8.2</w:t>
      </w:r>
    </w:p>
    <w:p>
      <w:r>
        <w:t>N'ayant pas obtenu gain de cause, l'intéressée n'a, par ailleurs, pas droit à des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