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F-6267/2024 vom 9. Oktober 2024</w:t>
      </w:r>
    </w:p>
    <w:p>
      <w:r>
        <w:t>Bundesverwaltungsgericht, 2024-10-09, DE</w:t>
      </w:r>
    </w:p>
    <w:p>
      <w:r>
        <w:rPr>
          <w:b/>
        </w:rPr>
        <w:t xml:space="preserve">Quelle: </w:t>
      </w:r>
      <w:r>
        <w:t>https://mcp.opencaselaw.ch/entscheid/bvger_F-6267_2024</w:t>
      </w:r>
    </w:p>
    <w:p>
      <w:r>
        <w:t>FR: TAF F-6267/2024 du 9 octobre 2024</w:t>
      </w:r>
    </w:p>
    <w:p>
      <w:r>
        <w:t>IT: TAF F-6267/2024 del 9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1 Dublin-III-VO grundsätzlich Litauen für die Behandlung des Asylgesuchs des Beschwerdeführers zuständig ist, dass das litauische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im Hinblick auf den Rassismus in Litauen (Bezeichnung als Terrorist und Islamist) sowie auf seine gesundheitlichen Beeinträchtigungen (gemäss eigenen Aussagen Angstzustände, Schlafprobleme, Depression) und Suizidalität berücksichtigt und rechtsprechungskonform gewürdigt. Des Weiteren hat die Vorinstanz korrekt festgehalten, dass sich aus der Anwesenheit der Tanten sowie Cousinen und Cousins in der Schweiz keine Zuständigkeit der Schweiz ableiten lässt (weder nach Art. 2 Bst. g noch nach Art. 16 Abs. 1 Dublin-III-VO).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Litauen angeordnet. Zur näheren Begründung wird auf die Erwägungen der Vorinstanz verwiesen.</w:t>
      </w:r>
    </w:p>
    <w:p>
      <w:r>
        <w:rPr>
          <w:b/>
        </w:rPr>
        <w:t>E. 2.2</w:t>
      </w:r>
    </w:p>
    <w:p>
      <w:r>
        <w:t>Was der Beschwerdeführer auf Rechtsmittelebene vorbringt, vermag an der Richtigkeit der angefochtenen Verfügung nichts zu ändern. Namentlich bringt er in Bezug auf den Rassismus in Litauen nichts Neues vor. Dem Beschwerdeführer kann sodann auch nicht gefolgt werden, wenn er sinngemäss rügt, aufgrund seiner psychischen Probleme könne eine Überstellung nach Litauen nicht erfolgen. Trotz Aufforderung der Vorinstanz, der Beschwerdeführer solle sich bei gesundheitlichen Problemen an das medizinische Personal wenden, hat dieser - soweit aus den Akten ersichtlich - keinen Arzttermin vereinbart. Der Beschwerdeführer unterlässt es, die geltend gemachten psychischen Leiden näher zu schildern sowie zu belegen. Dies gilt auch in Bezug auf die geltend gemachte Suizidalität. Sodann greifen auch seine Ausführungen in Bezug auf eine bestehende Abhängigkeit zu seinen in der Schweiz lebenden Tanten sowie Cousinen und Cousins bereits deshalb nicht, weil dieses Verwandtschaftsverhältnis nicht von Art. 16 Abs. 1 Dublin-III-VO erfasst ist. Sodann vermögen auch die vom Beschwerdeführer wiedergegebenen Berichte zur Situation in Litauen keine systemischen Mängel nach Art. 3 Abs. 2 Dublin-III-VO zu belegen.</w:t>
      </w:r>
    </w:p>
    <w:p>
      <w:r>
        <w:rPr>
          <w:b/>
        </w:rPr>
        <w:t>E. 2.3</w:t>
      </w:r>
    </w:p>
    <w:p>
      <w:r>
        <w:t>Auch die sinngemässe, formelle Rüge des Beschwerdeführers, wonach die Vorinstanz ihre Untersuchungspflicht in Bezug auf den medizinischen Sachverhalt verletzt habe, erweist sich als unbegründet. Der Beschwerdeführer hat sich - trotz entsprechender Aufforderung - nicht beim Gesundheitsdienst gemeldet und hat die geltend gemachte psychologische Behandlung in Litauen nicht belegt. Die Vorinstanz hat ihren Entscheid auf einen genügend abgeklärten Sachverhalt gestützt, weshalb keine Veranlassung besteht, die angefochtene Verfügung zu kassieren.</w:t>
      </w:r>
    </w:p>
    <w:p>
      <w:r>
        <w:rPr>
          <w:b/>
        </w:rPr>
        <w:t>E. 3</w:t>
      </w:r>
    </w:p>
    <w:p>
      <w:r>
        <w:t>Nach dem Gesagten ist die angefochtene Verfügung vom 26. September 2024 nicht zu beanstanden und die Beschwerde ist abzuweisen.</w:t>
      </w:r>
    </w:p>
    <w:p>
      <w:r>
        <w:rPr>
          <w:b/>
        </w:rPr>
        <w:t>E. 4</w:t>
      </w:r>
    </w:p>
    <w:p>
      <w:r>
        <w:t>Mit vorliegendem Urteil fällt der am 4. Oktober 2024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