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F-6257/2018 vom 8. Oktober 2019</w:t>
      </w:r>
    </w:p>
    <w:p>
      <w:r>
        <w:t>Bundesverwaltungsgericht, 2019-10-08, DE</w:t>
      </w:r>
    </w:p>
    <w:p>
      <w:r>
        <w:rPr>
          <w:b/>
        </w:rPr>
        <w:t xml:space="preserve">Quelle: </w:t>
      </w:r>
      <w:r>
        <w:t>https://mcp.opencaselaw.ch/entscheid/bvger_F-6257_2018</w:t>
      </w:r>
    </w:p>
    <w:p>
      <w:r>
        <w:t>FR: TAF F-6257/2018 du 8 octobre 2019</w:t>
      </w:r>
    </w:p>
    <w:p>
      <w:r>
        <w:t>IT: TAF F-6257/2018 del 8 ottobre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(Art. 37 VGG).</w:t>
      </w:r>
    </w:p>
    <w:p>
      <w:r>
        <w:rPr>
          <w:b/>
        </w:rPr>
        <w:t>E. 1.2</w:t>
      </w:r>
    </w:p>
    <w:p>
      <w:r>
        <w:t>Der Beschwerdeführer ist als Verfügungsadressat zur Erhebung der Beschwerde legitimiert (Art. 48 Abs. 1 VwVG). Auch die übrigen Sachurteilsvoraussetzungen sind erfüllt (vgl. Art. 50 und 52 VwVG).</w:t>
      </w:r>
    </w:p>
    <w:p>
      <w:r>
        <w:rPr>
          <w:b/>
        </w:rPr>
        <w:t>E. 1.3</w:t>
      </w:r>
    </w:p>
    <w:p>
      <w:r>
        <w:t>Das Bundesverwaltungsgericht entscheidet in vorliegender Sache endgültig (vgl. Art. 83 Bst. c Ziff. 1 BGG).</w:t>
      </w:r>
    </w:p>
    <w:p>
      <w:r>
        <w:rPr>
          <w:b/>
        </w:rPr>
        <w:t>E. 2</w:t>
      </w:r>
    </w:p>
    <w:p>
      <w:r>
        <w:t>Mit Beschwerde beim Bundesverwaltungsgericht können die Verletzung von Bundesrecht einschliesslich Überschreitung oder Missbrauch des Ermessens, die unrichtige und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In formeller Hinsicht macht der Beschwerdeführer eine Verletzung des Anspruchs auf rechtliches Gehör geltend. Das SEM habe bei seiner Begründung des Einreiseverbots die vorgebrachten Argumente des Beschwerdeführers in den Stellungnahmen nicht erwähnt und infolgedessen das Einreiseverbot ungenügend begründet. Ihm - dem Beschwerdeführer - sei zu keinem Zeitpunkt der Antrag zum Erlass eines Einreiseverbots zugestellt worden. Zudem werde im angefochtenen Entscheid die Dauer der «Einreisesperre» nicht begründet. Infolgedessen sei das SEM seiner Begründungspflicht nicht nachgekommen. Zudem hätten ihm im Anschluss an sein Fristerstreckungsgesuch vom 17. September 2018 lediglich vier Arbeitstage für die Einreichung einer ergänzenden Stellungnahme zur Verfügung gestanden.</w:t>
      </w:r>
    </w:p>
    <w:p>
      <w:r>
        <w:rPr>
          <w:b/>
        </w:rPr>
        <w:t>E. 3.1</w:t>
      </w:r>
    </w:p>
    <w:p>
      <w:r>
        <w:t>Wie bereits in der Zwischenverfügung vom 15. November 2018 ausgeführt, wurde dem Beschwerdeführer bereits am 10. August 2016 in Aussicht gestellt, dass das Amt allenfalls beim SEM ein Einreiseverbot beantragen werde. Aktenkundig liess er sich daraufhin nicht vernehmen (vgl. SEM-act. 5 S. 96; kantonale Akten [(kant.-act.] 521). Bei dem in der Beschwerde erwähnten Fristverlängerungsgesuch vom 17. September 2018 (SEM-act. 5 S. 150 f.) handelt es sich um das vierte entsprechende Gesuch. Dabei hatte das kantonale Migrationsamt dem Beschwerdeführer bereits am 17. Juli 2018 mitgeteilt, dass es beabsichtige, beim SEM ein Einreiseverbot zu beantragen, und ihm diesbezüglich das rechtliche Gehör gewährt (SEM-act. 5 S. 96). Im bereits erwähnten vierten Gesuch um Gewährung einer Fristverlängerung hat der Rechtsvertreter - nachdem er zwei Monate und drei Fristerstreckungen hatte verstreichen lassen - erstmals um vollständige Akteneinsicht ersucht. Infolgedessen stellte ihm das kantonale Migrationsamt die gesamten Akten elektronisch zu und hielt ausdrücklich fest, eine weitere Fristerstreckung sei nicht mehr möglich und eine weitere Verfahrensverzögerung nicht mehr hinzunehmen. Gleichzeitig wies es ihn darauf hin, dass er es sich selber zuzuschreiben habe, dass er bis anhin nicht im Besitz der (gesamten) Verfahrensakten gewesen sei (vgl. SEM-act. 5 S. 152).</w:t>
      </w:r>
    </w:p>
    <w:p>
      <w:r>
        <w:rPr>
          <w:b/>
        </w:rPr>
        <w:t>E. 3.2</w:t>
      </w:r>
    </w:p>
    <w:p>
      <w:r>
        <w:t>Der Anspruch auf rechtliches Gehör im Sinn von Art. 29 Abs. 2 BV umfasst verschiedene Garantien, die in Art. 29 ff. VwVG konkretisiert sind. Eine davon ist die Begründungspflicht gemäss Art. 35 VwVG. Sie soll den Betroffenen in die Lage versetzen, den Entscheid sachgerecht anzufechten. Die Behörde hat daher kurz die wesentlichen Überlegungen zu nennen, von denen sie sich leiten liess und auf die sie ihren Entscheid stützt (BGE 141 V 557 E. 3.2.1; 136 I 229 E. 5.2; Urteile des BGer 2D_14/2018 vom 13. August 2018 E. 3.1 sowie 2C_633/2017 vom 2. Mai 2018 E. 3.2 je m.H.). Je weiter der Entscheidungsspielraum, je komplexer die Sach- und Rechtslage der betroffenen Person, desto höhere Anforderungen sind an die Begründung zu stellen (zum Ganzen Urteil des BVGer F-7526/2015 vom 20. Dezember 2016 E. 3.2 m.H.).</w:t>
      </w:r>
    </w:p>
    <w:p>
      <w:r>
        <w:rPr>
          <w:b/>
        </w:rPr>
        <w:t>E. 3.3</w:t>
      </w:r>
    </w:p>
    <w:p>
      <w:r>
        <w:t>Aus der angefochtenen Verfügung wird klar, wieso die Vorinstanz dem Beschwerdeführer ein vierjähriges Einreiseverbot auferlegte. Insbesondere mit der Fokussierung auf sein wiederholtes deliktisches Handeln wird ein bestehendes öffentliches Fernhalteinteresse aufgezeigt. Die Ausführungen zu den privaten Interessen des Beschwerdeführers nehmen ausdrücklich auf dessen (Teil-) Stellungnahmen Bezug. Zudem ist - wie der Beschwerdeführer selbst einräumt - die Behörde nicht gehalten, zu jedem Argument der Partei explizit Stellung zu nehmen. Aus der Begründung der Vorinstanz in der angefochtenen Verfügung gehen denn auch keine Anhaltspunkte hervor, die dafür sprechen würden, dass sich die Vorinstanz unzureichend mit den Akten auseinandergesetzt hätte. Auch kann und muss die Begründungsdichte erstinstanzlicher Entscheide nicht derjenigen höherer Instanzen entsprechen (Urteile des BVGer F-7574/2015 vom 19. Januar 2017 E. 3.4 sowie F-7526/2015 vom 20. Dezember 2016 E. 3.3.3 je m.H.). Entscheidend ist, dass es dem Beschwerdeführer vorliegend möglich war, sich sachgerecht gegen die vorinstanzliche Verfügung zur Wehr zu setzen. Die Rüge der Gehörsverletzung erweist sich demnach als unbegründet.</w:t>
      </w:r>
    </w:p>
    <w:p>
      <w:r>
        <w:rPr>
          <w:b/>
        </w:rPr>
        <w:t>E. 4</w:t>
      </w:r>
    </w:p>
    <w:p>
      <w:r>
        <w:t>Am 1. Januar 2019 hat das Bundesgesetz über die Ausländerinnen und Ausländer (Ausländergesetz, AuG, AS 2007 5437) eine Teilrevision erfahren und eine neue Bezeichnung erhalten (Bundesgesetz vom 16. Dezember 2005 über die Ausländerinnen und Ausländer und über die Integration [Ausländer- und Integrationsgesetz, AIG, SR 142.20]). Folglich verwendet das Gericht nachfolgend die neue Bezeichnung. Da sich an den einschlägigen Gesetzesbestimmungen nichts geändert hat, erübrigen sich weitere Bemerkungen zur erwähnten Teilrevision (vgl. stattdessen Urteil des BVGer F-1186/2018 vom 10. Januar 2019 E. 2).</w:t>
      </w:r>
    </w:p>
    <w:p>
      <w:r>
        <w:rPr>
          <w:b/>
        </w:rPr>
        <w:t>E. 5.1</w:t>
      </w:r>
    </w:p>
    <w:p>
      <w:r>
        <w:t>Das Einreiseverbot kann gestützt auf Art. 67 Abs. 2 AIG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solches vollständig oder vorübergehend aufheben (Abs. 5).</w:t>
      </w:r>
    </w:p>
    <w:p>
      <w:r>
        <w:rPr>
          <w:b/>
        </w:rPr>
        <w:t>E. 5.2</w:t>
      </w:r>
    </w:p>
    <w:p>
      <w:r>
        <w:t>Das in Art. 67 AIG geregelte Einreiseverbot stellt keine Sanktion dar, sondern eine Massnahme zur Abwendung einer künftigen Störung der öffentlichen Sicherheit und Ordnung. Die öffentliche Sicherheit und Ordnung im Sinne von Art. 67 Abs. 2 Bst. a AIG bildet den Oberbegriff für die Gesamtheit der polizeilichen Schutzgüter; sie umfasst u.a. die Unverletzlichkeit der objektiven Rechtsordnung und der Rechtsgüter Einzelner. Somit liegt ein Verstoss gegen die öffentliche Sicherheit und Ordnung u.a. vor, wenn gesetzliche Vorschriften oder behördliche Verfügungen missachtet werden (vgl. dazu und zum Folgenden Urteil des BVGer F-954/2016 vom 3. August 2016 E. 3.2 m.H.). Widerhandlungen gegen Normen des Ausländerrechts fallen ohne weiteres unter diese Begriffsbestimmung und können ein Einreiseverbot nach sich ziehen.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w:t>
      </w:r>
    </w:p>
    <w:p>
      <w:r>
        <w:rPr>
          <w:b/>
        </w:rPr>
        <w:t>E. 5.3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6.1</w:t>
      </w:r>
    </w:p>
    <w:p>
      <w:r>
        <w:t>Aus den Akten ergibt sich, dass der Beschwerdeführer in der Schweiz wiederholt straffällig geworden ist. In den Jahren 1993 bis 2018 ergingen mehr als 40 Strafbefehle gegen ihn, wovon die Mehrzahl Widerhandlungen gegen das Strassenverkehrsgesetz betroffen hat. Er hat zudem gegen ausländerrechtliche Bestimmungen verstossen und wurde wegen wiederholtem Ungehorsam in betreibungsrechtlichen Verfahren belangt. Insbesondere bei den Verstössen gegen das Strassenverkehrsgesetz handelte es sich nicht nur um Bagatelldelikte. So wurde er wiederholt wegen Telefonierens ohne Freisprechanlage sowie wegen [zum Teil schwerer] Geschwindigkeitsüberschreitungen [inner- und ausserorts] belangt. Dabei hat sein Verhalten eine Gefahr für andere Verkehrsteilnehmer dargestellt (Urteil 2C_43/2018 E. 3.3.1). Gegen den Beschwerdeführer wurden Geldstrafen in der Höhe von 113 Tagessätzen und Bussen von insgesamt Fr. 15'000.- ausgesprochen.</w:t>
      </w:r>
    </w:p>
    <w:p>
      <w:r>
        <w:rPr>
          <w:b/>
        </w:rPr>
        <w:t>E. 6.2</w:t>
      </w:r>
    </w:p>
    <w:p>
      <w:r>
        <w:t>Des Weiteren hat der Beschwerdeführer hohe Schulden angehäuft. Im Verwaltungsgerichtsbeschwerdeverfahren betreffend Widerruf der Niederlassungsbewilligung hielt das [kantonale Migrationsamt] mit Vernehmlassung vom 9. Januar 2017 fest, dass in den Jahren 2012 bis 2016 gegenüber dem Beschwerdeführer Forderungen in der Höhe von Fr. 374'548.02 in Betreibung gesetzt worden seien, was einem Monatsdurchschnitt von Fr. 6'242.45 entspreche (vgl. [kant.]-act. 654). Aus dem Entscheid des Verwaltungsgerichts des [kantonalen Verwaltungsgericht] vom 24. November 2017 geht hervor, das zwischen Dezember 2011 und Oktober 2016 rund 80 Betreibungen über rund Fr. 357'000.- gegen den Beschwerdeführer eingeleitet wurden. Davon hätten viele Forderungen die öffentliche Hand betroffen. Zudem bestünden aus der Zeit von November 2013 bis Oktober 2016 47 offene Verlustscheine aus Pfändungen in der Höhe von rund Fr. 140'000.- (vgl. [kant.]-act. 766). Kommt hinzu, dass die Fürsorgebehörde Arth Forderungen der Krankenkasse im Umfang von mindestens Fr. 29'202.44 übernommen hat (vgl. zum Ganzen: Urteil 2C_43/2018 E. 3.3.4).</w:t>
      </w:r>
    </w:p>
    <w:p>
      <w:r>
        <w:rPr>
          <w:b/>
        </w:rPr>
        <w:t>E. 6.3</w:t>
      </w:r>
    </w:p>
    <w:p>
      <w:r>
        <w:t>Mit diesem Verhalten hat der Beschwerdeführer zweifellos gegen die öffentliche Ordnung und Sicherheit gemäss Art. 67 Abs. 2 AIG verstossen. Insbesondere fällt dabei ins Gewicht, dass er - trotz zweier ausländerrechtlichen Verwarnungen - über Jahre hinweg wiederholt strafrechtlich in Erscheinung trat und mit diesem Verhalten eine deutliche Unbelehrbarkeit und Gleichgültigkeit an den Tag legte.</w:t>
      </w:r>
    </w:p>
    <w:p>
      <w:r>
        <w:rPr>
          <w:b/>
        </w:rPr>
        <w:t>E. 6.4</w:t>
      </w:r>
    </w:p>
    <w:p>
      <w:r>
        <w:t>Der Beschwerdeführer macht hingegen geltend, dass die ihm vorgeworfenen Gesetzesverstösse mit Einbezug des Berufsrisikos gewürdigt werden müssten. Die Anzahl der Bussen und Strafverfügungen sei in Relation zu seiner 28-jährigen Anwesenheit in der Schweiz zu berücksichtigen. Zudem müsse seine tägliche Arbeitstätigkeit und die damit verbundene, überdurchschnittliche Exponiertheit, allenfalls mit dem Gesetz in Konflikt zu kommen, berücksichtigt werden. Ein bis zwei Parkbussen oder einfache Verkehrsregelverletzungen pro Jahr dürften sowohl bei Schweizern als auch bei Ausländern einen Durchschnittswert darstellen. Wie aus der Anzahl der Verurteilungen der Schluss gezogen worden sei, er - der Beschwerdeführer - habe eine Gleichgültigkeit gegenüber dem Schweizer Rechtssystem an den Tag gelegt, sei nicht ersichtlich, halte er sich doch an die Rechtsordnung und respektiere auch subjektiv das schweizerische Rechtssystem. Er sei beruflich sehr aktiv und habe täglich eine Vielzahl von Normen einzuhalten, was er seit Jahren auch vorbildlich tue. So weise er keine Verurteilungen im Zusammenhang mit der Einhaltung von baurechtlichen, arbeitsrechtlichen oder die Suva betreffenden Vorschriften auf.</w:t>
      </w:r>
    </w:p>
    <w:p>
      <w:r>
        <w:rPr>
          <w:b/>
        </w:rPr>
        <w:t>E. 6.5</w:t>
      </w:r>
    </w:p>
    <w:p>
      <w:r>
        <w:t>Der Beschwerdeführer verkennt jedoch mit seiner Argumentation, dass langjährige Straflosigkeit jenem Verhalten entspricht, welches von jeder Person, sei sie ausländisch oder inländisch, ohne Weiteres erwartet werden darf. Soweit er unterstreicht, sich immer an bauliche und arbeitsrechtliche Bestimmungen gehalten zu haben, übersieht er, dass er immerhin zweimal wegen Verstössen gegen ausländerrechtliche Bestimmungen belangt wurde (Urteil 2C_43/2018 E. 3.3). Des Weiteren ist bedeutsam, dass sich die Verurteilungen des Beschwerdeführers in den Jahren 2015 bis 2016 - und somit nach der zweiten gegen ihn ausgesprochenen Verwarnung vom 3. November 2015 - gehäuft haben, ergingen in diesem Zeitraum doch 21 Strafbefehle gegen ihn. Bereits nach seiner ersten Verwarnung vom 10. Oktober 2011 hätte er sich bewusst sein müssen, welche Konsequenzen weitere strafrechtliche Verfehlungen für ihn haben würden. Die abgesenkte Eingriffsschwelle (vgl. Urteil des BGer 2C_515/2017 vom 22. November 2017 E. 2.3.1) hat ihn jedoch nicht davon abgehalten, weitere Delikte zu begehen. Vielmehr lässt sein fortgesetztes deliktisches Verhalten eine nicht unerhebliche Ignoranz bzw. Gleichgültigkeit gegenüber der schweizerischen Rechtsordnung erkennen.</w:t>
      </w:r>
    </w:p>
    <w:p>
      <w:r>
        <w:rPr>
          <w:b/>
        </w:rPr>
        <w:t>E. 6.6</w:t>
      </w:r>
    </w:p>
    <w:p>
      <w:r>
        <w:t>Zu prüfen bleibt, ob die auf vier Jahre befristete und damit unterhalb der Regelhöchstdauer von Art. 67 Abs. 3 Satz 1 AIG liegende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(Art. 96 AIG; ferner statt vieler BVGE 2014/20 E. 8.1; Urteil des BVGer F-1388/2017 vom 24. Juli 2018 E. 5.1 je m.H.).</w:t>
      </w:r>
    </w:p>
    <w:p>
      <w:r>
        <w:rPr>
          <w:b/>
        </w:rPr>
        <w:t>E. 6.7</w:t>
      </w:r>
    </w:p>
    <w:p>
      <w:r>
        <w:t>Wie dargelegt ist wegen des Verhaltens des Beschwerdeführers eine Gefährdung der öffentlichen Ordnung und Sicherheit gemäss Art. 67 Abs. 2 Bst. a AIG zu bejahen. Es besteht demnach ein gewichtiges, general- und spezialpräventiv motiviertes Interesse an der längerfristigen Fernhaltung des Beschwerdeführers (zur spezial- und generalpräventiven Zielsetzung von Fernhaltemassnahmen: vgl. BVGE 2014/20 E. 8.2).</w:t>
      </w:r>
    </w:p>
    <w:p>
      <w:r>
        <w:rPr>
          <w:b/>
        </w:rPr>
        <w:t>E. 6.8</w:t>
      </w:r>
    </w:p>
    <w:p>
      <w:r>
        <w:t>Dem öffentlichen Interesse an seiner Fernhaltung sind die privaten Interessen des Beschwerdeführers gegenüberzustellen. Dieser beruft sich auf die Garantie des Familien- und Privatlebens im Sinn von Art. 8 EMRK. Sein jüngster Sohn sei noch minderjährig und befinde sich momentan in der Pubertät. In dieser Zeit sei er auf die Unterstützung beider Elternteile angewiesen, aber vor allem auf die Rolle seines Vaters. Er - der Beschwerdeführer - sei sich bewusst, dass die Folgen eines Einreiseverbots für das minderjährige Kind verheerend ausfallen würden. Aus diesem Grund habe er seine Familie - auch seine Ehefrau - noch nicht über das vorliegende Verfahren und das vierjährige Einreiseverbot informiert. Zudem habe er durch die sehr belastende Situation mit psychischen Problemen zu kämpfen und sich infolgedessen in entsprechende Behandlung bei einem Psychologen begeben.</w:t>
      </w:r>
    </w:p>
    <w:p>
      <w:r>
        <w:rPr>
          <w:b/>
        </w:rPr>
        <w:t>E. 6.9</w:t>
      </w:r>
    </w:p>
    <w:p>
      <w:r>
        <w:t>Die Pflege regelmässiger persönlicher Kontakte zum hier lebenden minderjährigen Sohn scheitert bereits daran, dass der Beschwerdeführer seine Aufenthaltsberechtigung verloren hat. Deswegen fragt sich lediglich, ob der darüber hinausgehende, durch das Einreiseverbot zusätzlich bewirkte Eingriff in die Interessen des Beschwerdeführers vor Art. 8 Ziff. 2 EMRK standhält (BVGE 2014/20 E. 8.3.4; vgl. auch Urteile des BVGer F-1388/2017 vom 24. Juli 2018 E. 5.4 und 5.5 sowie F-5290/2015 vom 3. Juli 2017 E. 7.3 und 7.4). Auf der gesetzlichen Ebene ist dies durch Art. 67 Abs. 5 AIG, welcher aus humanitären oder anderen wichtigen Gründen die vor-übergehende Suspendierung des Einreiseverbots erlaubt, sichergestellt. Ob und in welchem Umfang ein entsprechendes Gesuch bewilligt werden kann, ist aufgrund der Umstände im Einzelfall zu prüfen (vgl. den Wortlaut von Art. 67 Abs. 5 AIG). In diesem Rahmen hat der Beschwerdeführer grundsätzlich weiterhin die Möglichkeit, Beziehungen zu Verwandten und Freunden in der Schweiz zu pflegen (vgl. BVGE 2014/20 E. 8.3.4). Den Beteiligten steht es ausserdem offen, den Kontakt mit modernen Kommunikationsmitteln aufrecht zu erhalten oder sich ausserhalb des Schengen-Gebiets, z.B. im Kosovo, zu treffen. Für die Zumutbarkeit dieser Form der Beziehungspflege spricht auch der Umstand, dass sich die Ehefrau mit den Kindern bereits zu einem früheren Zeitpunkt aus freiem Willen in den Kosovo begeben hat, während der Beschwerdeführer einen alleinigen Aufenthalt in der Schweiz vorzog (vgl. Sachverhalt Bst. A). Durch die aus freiem Willen erfolgte Ausreise der Ehefrau und der Kinder hat die Familie damals die Trennung zu ihrem in der Schweiz lebenden Ehemann und Vater bewusst in Kauf genommen und die familiäre Beziehung nur punktuell und grenzüberschreitend gelebt. Unter diesen Umständen ist die Beeinträchtigung der familiären Beziehungen durch das Einreiseverbot als solches stark zu relativieren. Zudem gilt es in diesem Zusammenhang in Erinnerung zu rufen, dass der Beschwerdeführer die alleinige Verantwortung für den nur noch eingeschränkt möglichen Kontakt zu seiner Familie trägt.</w:t>
      </w:r>
    </w:p>
    <w:p>
      <w:r>
        <w:rPr>
          <w:b/>
        </w:rPr>
        <w:t>E. 7</w:t>
      </w:r>
    </w:p>
    <w:p>
      <w:r>
        <w:t>Nach alledem führt die Abwägung der vorliegenden öffentlichen und privaten Interessen zum Ergebnis, dass das auf 4 Jahre befristete Einreiseverbot eine verhältnismässige und angemessene Massnahme zum Schutz der öffentlichen Sicherheit und Ordnung darstellt.</w:t>
      </w:r>
    </w:p>
    <w:p>
      <w:r>
        <w:rPr>
          <w:b/>
        </w:rPr>
        <w:t>E. 8</w:t>
      </w:r>
    </w:p>
    <w:p>
      <w:r>
        <w:t>Aus diesen Erwägungen folgt, dass die angefochtene Verfügung Bundesrecht nicht verletzt (vgl. Art. 49 VwVG). Die Beschwerde ist daher abzuweisen.</w:t>
      </w:r>
    </w:p>
    <w:p>
      <w:r>
        <w:rPr>
          <w:b/>
        </w:rPr>
        <w:t>E. 9</w:t>
      </w:r>
    </w:p>
    <w:p>
      <w:r>
        <w:t>Bei diesem Ausgang des Verfahrens sind die Verfahrenskosten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