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F-6250/2020 vom 30. Juni 2022</w:t>
      </w:r>
    </w:p>
    <w:p>
      <w:r>
        <w:t>Bundesverwaltungsgericht, 2022-06-30, FR</w:t>
      </w:r>
    </w:p>
    <w:p>
      <w:r>
        <w:rPr>
          <w:b/>
        </w:rPr>
        <w:t xml:space="preserve">Quelle: </w:t>
      </w:r>
      <w:r>
        <w:t>https://mcp.opencaselaw.ch/entscheid/bvger_F-6250_2020</w:t>
      </w:r>
    </w:p>
    <w:p>
      <w:r>
        <w:t>FR: TAF F-6250/2020 du 30 juin 2022</w:t>
      </w:r>
    </w:p>
    <w:p>
      <w:r>
        <w:t>IT: TAF F-6250/2020 del 30 giugno 2022</w:t>
      </w:r>
    </w:p>
    <w:p>
      <w:pPr>
        <w:pStyle w:val="Heading2"/>
      </w:pPr>
      <w:r>
        <w:t>Regeste</w:t>
      </w:r>
    </w:p>
    <w:p>
      <w:r>
        <w:t>Assistance administrative</w:t>
      </w:r>
    </w:p>
    <w:p>
      <w:pPr>
        <w:pStyle w:val="Heading2"/>
      </w:pPr>
      <w:r>
        <w:t>Erwägungen</w:t>
      </w:r>
    </w:p>
    <w:p>
      <w:r>
        <w:rPr>
          <w:b/>
        </w:rPr>
        <w:t>E. 6.1.1</w:t>
      </w:r>
    </w:p>
    <w:p>
      <w:r>
        <w:t>Pour ce qui est des conditions de fond, les recourants arguent en premier lieu que les requêtes présentées par les autorités françaises consisteraient en fait en une pêche aux renseignements prohibée et ne viseraient en aucune façon à prouver des faits qui indiquent un comportement illégal de la part des contribuables du groupe, comme l'exigent les règles en la matière. En effet, il n'existerait « aucun indice permettant d'établir l'existence d'un soupçon concret que les listes B et C contiennent des numéros de compte appartenant à des personnes n'ayant pas respecté leurs obligations fiscales ».</w:t>
      </w:r>
    </w:p>
    <w:p>
      <w:r>
        <w:rPr>
          <w:b/>
        </w:rPr>
        <w:t>E. 6.1.2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5.2 supra) - répondait aux trois critères développés par la jurisprudence en lien avec les demandes groupées, applicables par analogie aux « demandes collectives », permettant d'exclure l'existence d'une fishing expedition (ci-avant consid. 3.5.2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6.2.1</w:t>
      </w:r>
    </w:p>
    <w:p>
      <w:r>
        <w:t>Au moyen d'un deuxième grief, les recourants reprochent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A l'appui de leur grief, les intéressés avancent que la demande d'assistance a été octroyée en violation du principe de la bonne foi, dès lors qu'il y aurait de sérieux doutes que cette demande se fonde sur des renseignements obtenus par des actes punissables en droit suisse. Selon eux, il existerait un lien de causalité entre ces actes punissables et l'obtention par la France des données sur lesquelles serait fondée la demande litigieuse dès lors que, sans le transfert illicite de données de X._______ Switzerland AG dans les serveurs de X._______ Deutschland AG et sans l'achat dudit CD, aucune perquisition n'aurait pu avoir lieu et les données fondant la requête du 11 mai 2016 n'auraient pas été découvertes. De surcroît, les recourants arguent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 du cas d'espèce.</w:t>
      </w:r>
    </w:p>
    <w:p>
      <w:r>
        <w:rPr>
          <w:b/>
        </w:rPr>
        <w:t>E. 6.2.2</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X._______ Deutschland AG à Francfort. Le serveur de sauvegarde comprenait des sauvegardes des ordinateurs des employés de 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 C'est dans le cadre de ces enquêtes que le parquet de Bochum aurait procédé à diverses perquisitions au siège de X._______ Deutschland AG à Francfort et auprès d'autres sites de X._______ en Allemagne. Lors de la perquisition au siège de la banque X._______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6.2.3</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considérants ci-après.</w:t>
      </w:r>
    </w:p>
    <w:p>
      <w:r>
        <w:rPr>
          <w:b/>
        </w:rPr>
        <w:t>E. 6.2.3.1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les recourants, à aucun moment l'autorité requérante ne s'est engagée à ne pas déposer de requête d'assistance administrative fondée spécifiquement sur les données recueillies dans le cas d'espèce. Certes,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X._______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les intéressés ne le soutiennent à juste titre pas.</w:t>
      </w:r>
    </w:p>
    <w:p>
      <w:r>
        <w:rPr>
          <w:b/>
        </w:rPr>
        <w:t>E. 6.2.3.2</w:t>
      </w:r>
    </w:p>
    <w:p>
      <w:r>
        <w:t>Quant à l'existence d'un lien de causalité entre les données prétendument volées et la demande d'assistance administrative dont se prévalent les recourants,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6.2.2 supra). C'est en conséquence en vain que les recourants se prévalent d'une violation du principe de la bonne foi au sens défini au considérant 3.4 ci-avant.</w:t>
      </w:r>
    </w:p>
    <w:p>
      <w:r>
        <w:rPr>
          <w:b/>
        </w:rPr>
        <w:t>E. 6.3.1</w:t>
      </w:r>
    </w:p>
    <w:p>
      <w:r>
        <w:t>Dans un troisième grief, les recourants avancent que le principe de spécialité ne serait pas respecté dans le cas d'espèce. A cet égard, ils arguent en substance qu'ils n'auraient reçu aucune garantie que leurs données ne seraient pas utilisées contre eux par les autorités pénales françaises. En outre, ils soutiennent qu'il existerait un fort risque que l'autorité requérante utilise les informations reçues par le biais de la présente procédure d'assistance administrative à d'autres fins que fiscales, spécialement dans le cadre de la procédure pénale menée contre la banque X._______ en France. L'autorité requérante n'aurait ainsi jamais pris d'engagement ferme de ne pas utiliser les informations reçues dans le cadre de la procédure pénale menée à l'encontre de la banque précitée et le droit interne français ne permettrait pas aux fonctionnaires des autorités fiscales de respecter le principe de spécialité.</w:t>
      </w:r>
    </w:p>
    <w:p>
      <w:r>
        <w:rPr>
          <w:b/>
        </w:rPr>
        <w:t>E. 6.3.2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X._______, et [...] ces renseignements seront exclusivement utilisés contre les personnes visées par notre demande (y inclus des personnes tierces dans un contexte fiscal) », cf. Décision finale de l'AFC, ch. 8.2).</w:t>
      </w:r>
    </w:p>
    <w:p>
      <w:r>
        <w:rPr>
          <w:b/>
        </w:rPr>
        <w:t>E. 6.3.3</w:t>
      </w:r>
    </w:p>
    <w:p>
      <w:r>
        <w:t>Par surabondance de moyens, la Cour de céans relève qu'elle ne nie pas que les différentes garanties fournies par la France en lien avec le respect du principe de spécialité, telles que décrites dans le consid. 6.3.2 ci-avant, concernent pour l'essentiel la banque X._______. Toutefois, on ne saurait déduire a contrario que l'autorité requérante entendrait violer le principe de spécialité à l'égard des recourants. En effet, ni les éléments du dossier ni les affirmations des intéressés - formulées de manière hypothétique - ne prouvent, ni même n'étayent, le fait prétendu que les informations relatives aux recourants pourraient être utilisées en violation du principe de spécialité. La garantie formulée par la DGFiP doit aussi être comprise à l'aune du caractère collectif de la demande qu'elle a présentée le 11 mai 2016 et concerne ainsi aussi des clients ou ex-clients de la banque X._______. Il n'y a donc pas lieu de retenir que les renseignements relatifs au recourant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des recourants quant à une violation du principe de spécialité à leur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6.3.4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7.1</w:t>
      </w:r>
    </w:p>
    <w:p>
      <w:r>
        <w:t>Au vu des considérants qui précèdent, le recours est rejeté.</w:t>
      </w:r>
    </w:p>
    <w:p>
      <w:r>
        <w:rPr>
          <w:b/>
        </w:rPr>
        <w:t>E. 7.2</w:t>
      </w:r>
    </w:p>
    <w:p>
      <w:r>
        <w:t>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7.3</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