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F-6237/2020 vom 21. Januar 2022</w:t>
      </w:r>
    </w:p>
    <w:p>
      <w:r>
        <w:t>Bundesverwaltungsgericht, 2022-01-21, FR</w:t>
      </w:r>
    </w:p>
    <w:p>
      <w:r>
        <w:rPr>
          <w:b/>
        </w:rPr>
        <w:t xml:space="preserve">Quelle: </w:t>
      </w:r>
      <w:r>
        <w:t>https://mcp.opencaselaw.ch/entscheid/bvger_F-6237_2020</w:t>
      </w:r>
    </w:p>
    <w:p>
      <w:r>
        <w:t>FR: TAF F-6237/2020 du 21 janvier 2022</w:t>
      </w:r>
    </w:p>
    <w:p>
      <w:r>
        <w:t>IT: TAF F-6237/2020 del 21 gennaio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L'interdiction d'entrée est régie par l'art. 67 LEI. Selon l'al. 2 de cette disposition,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3.3</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3.4</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4.1</w:t>
      </w:r>
    </w:p>
    <w:p>
      <w:r>
        <w:t>Il convient d'examiner, en premier lieu, si le recourant a attenté par son comportement à la sécurité et à l'ordre publics ou les a mis en danger au sens de l'art. 67 al. 2 let. a LEI et si la décision attaquée est dès lors justifiée dans son principe.</w:t>
      </w:r>
    </w:p>
    <w:p>
      <w:r>
        <w:rPr>
          <w:b/>
        </w:rPr>
        <w:t>E. 4.2</w:t>
      </w:r>
    </w:p>
    <w:p>
      <w:r>
        <w:t>Dans la mesure où l'intéressé est ressortissant kosovar, soit originaire d'un Etat tiers, le prononcé querellé doit s'examiner à l'aune de la LEI, les dispositions de l'Accord du 21 juin 1999 entre la Confédération suisse, d'une part, et la Communauté européenne et ses Etats membres, d'autre part, sur la libre circulation des personnes (ALCP, RS 0.142.112.681) n'étant pas applicables. Selon le Tribunal fédéral, un étranger ressortissant d'un pays tiers n'a pas besoin d'avoir attenté de manière grave à l'ordre et la sécurité publics pour se voir interdire l'entrée en Suisse sur la base du seul art. 67 LEI (cf. ATF 139 II 121 consid. 5.4).</w:t>
      </w:r>
    </w:p>
    <w:p>
      <w:r>
        <w:rPr>
          <w:b/>
        </w:rPr>
        <w:t>E. 4.3</w:t>
      </w:r>
    </w:p>
    <w:p>
      <w:r>
        <w:t>Au vu des délits pour lesquels le recourant a subi des condamnations pénales en Suisse (cf. consid. B et D supra), il s'impose de constater que celui-ci a indiscutablement attenté à la sécurité et l'ordre publics au sens de l'art. 77a al. 1 OASA. En effet, selon la jurisprudence, la commission antérieure d'infractions constitue un indice de poids permettant de penser qu'une nouvelle atteinte à la sécurité et à l'ordre publics sera commise à l'avenir. En présence de ressortissants d'Etats tiers, tel qu'en l'espèce, la commission d'infractions suffit du reste, en principe, pour admettre l'existence d'un risque actuel pour la sécurité et l'ordre publics. Il y a donc lieu de conclure que l'intéressé remplit les conditions d'application de l'art. 67 al. 2 let. a LEI (cf. ATAF 2017 VII/2 consid. 4.4). Le Tribunal est en conséquence amené à conclure que l'interdiction d'entrée prononcée le 5 novembre 2020 en application de l'art. 67 al. 2 let. a LEI est parfaitement justifiée dans son principe. 5.Il convient ensuite d'examiner si le prononcé d'une interdiction d'entrée d'une durée supérieure à cinq ans est justifié à la lumière de l'art. 67 al. 3 2ème phrase LEI et des principes dégagés par la jurisprudence. 5.1 Ainsi que le Tribunal fédéral l'a retenu dans son arrêt précité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LEI (palier I) ou à la "menace d'une certaine gravité", telle que définie par la jurisprudence relative à l'art. 5 annexe I ALCP (palier I bis),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LEI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5.2 En l'espèce, le SEM a fondé son prononcé du 5 novembre 2020 sur les condamnations pénales dont le recourant avait fait l'objet entre 2000 et 2016 et en particulier sur "l'énergie criminelle" qu'il a déployée en Suisse sur une longue période. Si les deux premières condamnations prononcées à l'endroit de l'intéressé l'ont été alors que celui-ci était encore mineur, il s'impose de constater que celles prononcées en 2008 et 2009 sont venues sanctionner des infractions d'une certaine gravité (soit des infractions graves aux règles de la circulation routière et des dommages à la propriété), alors que celle de 2016 a été prononcée pour une atteinte particulièrement grave à l'intégrité physique de sa victime (soit : mise en danger de la vie d'autrui, contrainte sexuelle, tentative de viol, lésions corporelles simples et contrainte). Il s'impose de relever par ailleurs que le degré de gravité de la menace résulte en l'espèce également de la multiplication des infractions (récidive). Il apparaît à cet égard que le SPM avait adressé à A._______, le 21 mars 2005, un sérieux avertissement et avait attiré son attention sur le fait que de nouvelles condamnations pénales pourraient justifier la révocation de son autorisation de séjour, ce qui n'a pas empêché l'intéressé de commettre de nouveaux délits, dont le dernier s'est révélé, et de loin, comme le plus grave. 5.3 En conséquence, au vu de l'activité délictuelle déployée en Suisse par l'intéressé et en particulier de la gravité des faits pour lesquels il a subi sa dernière condamnation en 2016 (venant sanctionner l'atteinte à des biens particulièrement protégés, soit la vie, l'intégrité corporelle et sexuelle), le Tribunal arrive à la conclusion que les conditions émises à l'art. 67 al. 3 phr. 2 LEI sont en l'espèce réunies et justifient l'éloignement de l'intéressé pour une durée supérieure à cinq ans. 6.Il convient encore d'examiner si la mesure d'éloignement, dont la durée a été fixée à huit ans par l'autorité inférieure, satisfait aux principes généraux de procédure, en particulier à ceux de la proportionnalité et de l'égalité de traitement. 6.1 Toute mesure d'éloignement doit respecter le principe de la proportionnalité, qui s'impose tant en droit interne (cf. art. 5 al. 2 et 36 al. 3 Cst. ; art. 96 LEI) qu'au regard de la CEDH, lorsque la mesure étatique en cause pourrait constituer une ingérence dans l'exercice des droits fondamentaux, dont notamment du droit à la protection de la vie privée et familiale garanti par l'art. 8 par. 1 et 2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ATF 136 IV 97 consid. 5.2.2 ; 135 I 176 consid. 8.1 ; 133 I 110 consid. 7.1 ; ATAF 2011/60 consid. 5.3.1 ; arrêt du TAF F-5267/2015 du 18 août 2016 consid. 6.1). Conformément aux principes précités,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réf. cit.). 6.2 En l'état, concernant les règles de l'aptitude et de la nécessité, il est indéniable que l'éloignement du territoire suisse du recourant est apte et nécessaire pour atteindre les buts visés, à savoir protéger l'ordre et la sécurité publics (arrêt du TAF F-2343/2016 du 26 mars 2018 consid. 6.3). 6.3 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 S'agissant de l'intérêt privé du recourant, la prise en considération de la durée du séjour en Suisse se justifie par le fait que l'intégration dans le pays d'accueil est généralement d'autant plus forte que le séjour y a été long. En l'espèce, le recourant est arrivé en Suisse à l'âge de sept ans et a donc passé la plus grande partie de son existence dans ce pays, dans lequel séjourne par ailleurs son épouse et leur jeune enfant. Il convient par ailleurs d'admettre que la mesure d'éloignement prononcée à son endroit constitue, compte tenu de sa durée, une entrave importante à l'exercice de ses relations familiales. S'agissant de l'intérêt public, il s'impose de souligner que les actes pour lesquels le recourant a été condamné sont d'une gravité certaine et justifient une ferme intervention des autorités. Dans ce contexte, on ne saurait passer sous silence le fait que l'intéressé a déployé une activité délictuelle en Suisse pendant de nombreuses années et qu'il a en particulier récidivé, alors que les autorités l'avaient pourtant expressément averti des conséquences d'une reprise de son activité délictuelle. Il appert en outre que sa dernière condamnation en 2016 est venue sanctionner des faits d'une gravité incontestable. 6.4 Concernant la protection de la vie familiale, il convient de relever ici que l'interdiction d'entrée prononcée par le SEM ne rend pas impossible le maintien des relations du recourant avec son épouse et son enfant. En particulier, rien ne s'oppose à ce que ceux-ci le rejoignent durant de courtes périodes dans son pays. Par ailleurs, des contacts réguliers entre les intéressés par le biais de moyens de communication tels que Skype demeurent possibles. Il est à noter au surplus que les intéressés devaient être conscients, lors de la conception de leur enfant, qu'ils ne pourraient très probablement pas vivre leur vie familiale en Suisse, dès lors que l'autorisation d'établissement du recourant avait alors été révoquée par le SPM et que cette décision avait, à ce moment-là déjà, été confirmée par les deux instances cantonales de recours. Il convient de constater enfin, comme relevé par le Tribunal fédéral dans son arrêt du 4 juin 2020 (2C_94/2020), qu'en se prévalant du « contexte particulier » entourant les infractions ayant abouti à sa dernière condamnation du 30 juin 2016, ainsi que du « rôle joué par la victime », le recourant a manifesté une absence de prise de conscience de la gravité de ses actes qui doit également être prise en considération. Aussi, après une pondération des intérêts publics et privés en présence et au regard de l'ensemble des circonstances du cas d'espèce, le Tribunal considère que la durée de l'interdiction d'entrée prononcée le 5 novembre 2020 pour une durée de huit ans est conforme au principe de la proportionnalité. 7.Le SEM a également ordonné l'inscription de l'interdiction d'entrée dans le SIS II. En raison de ce signalement, il est interdit au recourant de pénétrer dans l'espace Schengen. 7.1 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(cf. art. 3 let. d du règlement [CE]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7.2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 7.3 En l'occurrence, le Tribunal est amené à conclure que le signalement au SIS est justifié par les faits retenus (cf. art. 21 en relation avec l'art. 24 al. 2 du règlement SIS II). 8.Le Tribunal constate enfin que c'est à bon droit que le SEM n'a pas fait application de l'art. 67 al. 5 LEI en considérant qu'il n'existait pas de raisons humanitaires ou d'autres motifs importants justifiant l'abstention ou la suspension de la mesure d'éloignement au sens de cette disposition.</w:t>
      </w:r>
    </w:p>
    <w:p>
      <w:r>
        <w:rPr>
          <w:b/>
        </w:rPr>
        <w:t>E. 9.1</w:t>
      </w:r>
    </w:p>
    <w:p>
      <w:r>
        <w:t>Il ressort de ce qui précède que, par sa décision du 5 novembre 2020, l'autorité inférieure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