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F-6222/2020 vom 16. Dezember 2020</w:t>
      </w:r>
    </w:p>
    <w:p>
      <w:r>
        <w:t>Bundesverwaltungsgericht, 2020-12-16, DE</w:t>
      </w:r>
    </w:p>
    <w:p>
      <w:r>
        <w:rPr>
          <w:b/>
        </w:rPr>
        <w:t xml:space="preserve">Quelle: </w:t>
      </w:r>
      <w:r>
        <w:t>https://mcp.opencaselaw.ch/entscheid/bvger_F-6222_2020</w:t>
      </w:r>
    </w:p>
    <w:p>
      <w:r>
        <w:t>FR: TAF F-6222/2020 du 16 décembre 2020</w:t>
      </w:r>
    </w:p>
    <w:p>
      <w:r>
        <w:t>IT: TAF F-6222/2020 del 16 dicembre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Der nach dieser Verordnung zuständige Mitgliedstaat ist verpflichtet, einen Drittstaatsangehörigen oder Staatenlosen, der seinen Antrag während der Antragsprüfung zurückgezogen und in einem anderen Mitgliedstaat einen Antrag gestellt hat oder der sich ohne Aufenthaltstitel im Hoheitsgebiet eines anderen Mitgliedstaats aufhält, nach Massgabe der Artikel 23, 24, 25 oder 29 wieder aufzunehmen (Art. 18 Abs. 1 Bst. c Dublin-III-VO). Die Dublin-III-VO räumt den Schutzsuchenden kein Recht ein, den ihren Antrag prüfenden Staat selber auszuwählen (vgl. BVGE 2010/45 E. 8.3).</w:t>
      </w:r>
    </w:p>
    <w:p>
      <w:r>
        <w:rPr>
          <w:b/>
        </w:rPr>
        <w:t>E. 4.4</w:t>
      </w:r>
    </w:p>
    <w:p>
      <w:r>
        <w:t>Ein Abgleich der Fingerabdrücke des Beschwerdeführers mit der «Eurodac»-Datenbank ergab, dass er am 26. September 2020 in Rumänien ein Asylgesuch gestellt hatte (SEM act. 8). Das SEM ersuchte die rumänischen Behörden deshalb am 5. November 2020 um Übernahme des Beschwerdeführers (SEM act. 15). Diese stimmten dem Übernahmeersuchen am 18. November 2020 ausdrücklich zu. Die Zustimmung stützte sich auf Art. 18 Abs. 1 Bst. c Dublin-III-VO (SEM act. 21 und 22). Die grundsätzliche Zuständigkeit Rumäniens ist damit gegeben und wird vom Beschwerdeführer nicht bestritten.</w:t>
      </w:r>
    </w:p>
    <w:p>
      <w:r>
        <w:rPr>
          <w:b/>
        </w:rPr>
        <w:t>E. 5</w:t>
      </w:r>
    </w:p>
    <w:p>
      <w:r>
        <w:t>Nachfolgend ist demnach im Licht von Art. 3 Abs. 2 Dublin-III-VO zu prüfen, ob es wesentliche Gründe für die Annahme gibt, das Asylverfahren und die Aufnahmebedingungen für Asylsuchende in Spanien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6.1</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Es gibt keine wesentlichen Gründe für die Annahme, das Asylverfahren und die Aufnahmebedingungen für Asylsuchende in Rumänien würden systemische Schwachstellen aufweisen, die eine Gefahr einer unmenschlichen oder entwürdigenden Behandlung im Sinne des Artikels 4 der EU-Grundrechtecharta mit sich bringen würden.</w:t>
      </w:r>
    </w:p>
    <w:p>
      <w:r>
        <w:rPr>
          <w:b/>
        </w:rPr>
        <w:t>E. 6.2</w:t>
      </w:r>
    </w:p>
    <w:p>
      <w:r>
        <w:t>Unter diesen Umständen ist die Anwendung von Art. 3 Abs. 2 Dublin-III-VO nicht gerechtfertigt.</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7.2</w:t>
      </w:r>
    </w:p>
    <w:p>
      <w:r>
        <w:t>Der Beschwerdeführer macht fortbestehende Probleme im rumänischen Asylsystem geltend. So seien die dortigen Aufnahmekapazitäten gering und die hygienischen Bedingungen in den Zentren nicht zufriedenstellend. Hinzu komme die Problematik der Inhaftierung von Asylsuchenden. Den Akten kann entnommen werden, dass sein Asylverfahren in Rumänien im Anschluss an die Weiterreise durch unbekannte Länder in die Schweiz am 16. November 2020 abgeschlossen wurde (SEM act. 21 und 22). Wie die Vorinstanz zutreffend festhält, steht es dem Beschwerdeführer nach erfolgter Überstellung nach Rumänien indes offen, das dortige Asylverfahren fortführen zu lassen. Seine Befürchtung, wonach dies nicht mehr möglich sei, beruht auf reinen Mutmassungen. Der Betroffene hat in diesem Zusammenhang kein konkretes und ernsthaftes Risiko dargetan, die dortigen Behörden würden sich weigern, ihn wieder aufzunehmen und seinen Antrag auf internationalen Schutz unter Einhaltung der Regeln der Verfahrensrichtlinie zu prüfen. Den Akten sind denn auch keine Gründe für die Annahme zu entnehmen, das 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zu erwartenden Bedingungen seien derart schlecht, dass sie zu einer Verletzung von Art. 4 der EU-Grundrechtecharta, Art. 3 EMRK oder Art. 3 FoK führen könnten.</w:t>
      </w:r>
    </w:p>
    <w:p>
      <w:r>
        <w:rPr>
          <w:b/>
        </w:rPr>
        <w:t>E. 7.3</w:t>
      </w:r>
    </w:p>
    <w:p>
      <w:r>
        <w:t>Des Weiteren gibt es auch keine konkreten Hinweise für die Annahme, Rumänien würde dem Beschwerdeführer dauerhaft die ihm gemäss Aufnahmerichtlinie zustehenden minimalen Lebensbedingungen vorenthalten. Bei einer allfälligen vorübergehenden Einschränkung - beispielsweise wegen der beanstandeten Unterbringung in einem baufälligen Gebäude mit prekären hygienischen Bedingungen oder der nicht korrekten Behandlung - könnte er sich nötigenfalls an die rumänischen Behörden wenden und die ihm zustehenden Aufnahmebedingungen auf dem Rechtsweg einfordern (vgl. Art. 26 Aufnahmerichtlinie). Anzumerken gilt es an dieser Stelle, dass sich der Betroffene eigenen Angaben zufolge nur rund zwanzig Tag in Rumänien aufhielt und dort als Asylsuchender registriert war. Er hat jedoch das Land verlassen, bevor sein Asylgesuch bearbeitet werden konnte. Seine Ausreise erfolgte mit anderen Worten freiwillig und die rumänischen Behörden haben nicht versucht, ihn in die Türkei oder in ein anderes Land zu bringen. Damit ist den diesbezüglich erhobenen Rügen (unzureichende Aufnahmestrukturen, tiefe Anerkennungsquote türkischer Asylsuchender, etc.) die Grundlage entzogen. Nichts zu seinen Gunsten abzuleiten vermag er ferner aus den auf Beschwerdeebene zitierten, nicht auf den Einzelfall Bezug nehmenden Berichten und Reporten. Zu ergänzen wäre, dass bislang weder das Bundesverwaltungsgericht noch der Europäische Gerichtshof für Menschenrechte (EGMR) - und im Übrigen auch nicht der Europäische Gerichtshof (EuGH) - systemische Schwachstellen im rumänischen Asylsystem erkannt haben (vgl. Urteile des BVGer F-5474/2020 vom 13. November 2020 E. 4.1 und F-4980/2020 vom 14. Oktober 2020 E. 5.2 je m.H.). Für eine Änderung der Rechtsprechung oder eine aktuelle Bewertung der allgemeinen Lage in besagtem Land besteht auch in Würdigung der vom Beschwerdeführer gemachten Äusserungen zu seiner Behandlung in Rumänien keine Veranlassung.</w:t>
      </w:r>
    </w:p>
    <w:p>
      <w:r>
        <w:rPr>
          <w:b/>
        </w:rPr>
        <w:t>E. 7.4</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180 - 193 m.w.H.).</w:t>
      </w:r>
    </w:p>
    <w:p>
      <w:r>
        <w:rPr>
          <w:b/>
        </w:rPr>
        <w:t>E. 7.5</w:t>
      </w:r>
    </w:p>
    <w:p>
      <w:r>
        <w:t>Eine solche Situation liegt nicht vor. Zum Gesundheitszustand des Beschwerdeführers finden sich in den vorinstanzlichen Akten drei Arztberichte vom 3., 6. und 11. November 2020 sowie einen Behandlungseintrag zu einer ärztlichen Konsultation vom 25. November 2020. Daraus geht hervor, dass er hierzulande wegen infizierter Wunden an den Unterschenkeln behandelt worden ist. Diagnostiziert wurden ferner Gelenkschmerzen an Ellenbogen und Knie, Insomnie und eine depressive Episode. Zur Behandlung dieser gesundheitlichen Probleme wurden ihm Medikamente verschrieben und Kontrolluntersuchungen angesetzt (SEM act. 18-20 sowie act. 24 und 25). Aus den aufgeführten Diagnosen ergibt sich, dass sich der Beschwerdeführer aus medizinischer Sicht nicht zwingend in der Schweiz aufhalten muss, sondern eine adäquate Behandlung der Leiden in Rumänien möglich ist. Ob die inzwischen abgeklungenen Infektionen an den Unterschenkeln von den hygienischen Verhältnissen in den rumänischen Unterkünften oder von einem Gefängnisaufenthalt herrühren, erscheint entgegen der Auffassung der Parteivertreterin nicht von Belang, erweisen sie sich doch ohnehin als nicht besonders gravierend. Dementsprechend gelingt es ihm nicht, nachzuweisen, dass er nicht reisefähig sei oder eine Überstellung nach Rumänien eine tatsächliche Gefahr (real risk) einer Verletzung von Art. 3 EMRK mit sich bringen würde.</w:t>
      </w:r>
    </w:p>
    <w:p>
      <w:r>
        <w:rPr>
          <w:b/>
        </w:rPr>
        <w:t>E. 7.6</w:t>
      </w:r>
    </w:p>
    <w:p>
      <w:r>
        <w:t>Zu keinem anderen Ergebnis führt, dass das SEM den mit der Überweisung vom 25. November 2020 vorgesehenen Untersuchungstermin bei den Externen Psychiatrischen Dienste Thurgau nicht abgewartet hat (SEM act. 25). Der Beschwerdeführer wurde in der Schweiz, wie eben dargetan, medizinisch versorgt und er unterzog sich mehreren ärztlichen Kontrollen. Seine gesundheitlichen Probleme waren mithin bekannt. In Bezug auf das Vorliegen einer schwerwiegenden Erkrankung wären von zusätzlichen medizinischen Abklärungen keine neuen Erkenntnisse zu erwarten gewesen (zur antizipierten Beweiswürdigung vgl. BGE 141 I 60 E. 3.3 oder BGE 136 I 229 E. 5.3). Es ist deshalb nicht zu beanstanden, dass die Vorinstanz diesbezüglich keine weiteren Vorkehren getroffen hat. Der im Rechtsmittelverfahren nachgereichte, undatierte psychiatrische Kurzbericht - darin figurieren die Diagnosen «mittelgradige depressive Episode» und «Posttraumatische Belastungsstörung», verbunden mit dem Hinweis auf eine am 15. Dezember 2020 vorgesehene Konsultation - bestätigt dies (BVGer act. 3), denn die genannten Beeinträchtigungen sind nicht von solcher Schwere, dass im Falle einer Überstellung nach Rumänien mit dem Risiko einer ernsten, raschen und unwiederbringlichen Verschlechterung des Gesundheitszustandes gerechnet oder aus humanitären Gründen von einer Überstellung abgesehen werden müsste. Aufgrund der Äusserungen des Beschwerdeführers anlässlich des Dublin-Gesprächs und der vorhandenen medizinischen Unterlagen kann diesfalls darüber hinaus auch nicht von einer Re-Traumatisierung ausgegangen werden. Die auf Beschwerdeebene erhobene Rüge der unvollständigen Sachverhaltsabklärung erweist sich somit als nicht stichhaltig. Mit Blick auf das beschriebene Krankheitsbild wäre schliesslich anzumerken, dass es sich beim Beschwerdeführer nicht um eine derart vulnerable Person handelt, dass individuelle Garantien der rumänischen Behörden bezüglich Unterbringung und medizinischer Versorgung angezeigt wären.</w:t>
      </w:r>
    </w:p>
    <w:p>
      <w:r>
        <w:rPr>
          <w:b/>
        </w:rPr>
        <w:t>E. 7.7</w:t>
      </w:r>
    </w:p>
    <w:p>
      <w:r>
        <w:t>Im Übrigen verfügt Rumänien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Rumänien dem Beschwerdeführer eine adäquate medizinische Behandlung (konkret Fortführung der Medikation, allenfalls psychiatrische oder psychotherapeutische Betreuung) verweigern würde.</w:t>
      </w:r>
    </w:p>
    <w:p>
      <w:r>
        <w:rPr>
          <w:b/>
        </w:rPr>
        <w:t>E. 7.8</w:t>
      </w:r>
    </w:p>
    <w:p>
      <w:r>
        <w:t>Festzuhalten gilt ferner, dass die schweizerischen Behörden, die mit dem Vollzug der angefochtenen Verfügung beauftragt sind, den medizinischen Umständen bei der Bestimmung der konkreten Modalitäten der Überstellung des Beschwerdeführers Rechnung tragen und die rumänischen Behörden vorgängig in geeigneter Weise über die spezifischen medizinischen Umstände informieren (vgl. Art. 31 f. Dublin-III-VO). Dies ist vorliegend geschehen, sind die verschiedenen Diagnosen (infizierte Wunden an den Unterschenkeln, Schlafstörung, Gelenkschmerzen am linken Ellenbogen, depressive Episode) in den Überstellungsmodalitäten doch aufgelistet (SEM act. 27).</w:t>
      </w:r>
    </w:p>
    <w:p>
      <w:r>
        <w:rPr>
          <w:b/>
        </w:rPr>
        <w:t>E. 7.9</w:t>
      </w:r>
    </w:p>
    <w:p>
      <w:r>
        <w:t>Zu ergänzen ist der Vollständigkeit halber, dass die herrschende Situation im Zusammenhang mit der COVID-19-Pandemie ein bloss temporäres Vollzugshindernis darstellt, welchem im Rahmen der Vollzugsmodalitäten Rechnung zu tragen ist (vgl. etwa Urteile des BVGer F-3004/2020 vom 17. Juni 2020 E. 7.5 oder F-2489/2020 vom 3. Juni 2020 E. 6.3 m.H.).</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Nach dem Gesagten besteht kein Grund für eine Anwendung der Ermessensklauseln von Art. 17 Dublin-III-VO. Somit bleibt Rumänien der für die Behandlung des Asylgesuches des Beschwerdeführers zuständige Mitgliedstaat gemäss Dublin-III-VO.</w:t>
      </w:r>
    </w:p>
    <w:p>
      <w:r>
        <w:rPr>
          <w:b/>
        </w:rPr>
        <w:t>E. 10</w:t>
      </w:r>
    </w:p>
    <w:p>
      <w:r>
        <w:t>Das SEM ist demnach zu Recht in Anwendung von Art. 31a Abs. 1 Bst. b AsylG auf das Asylgesuch des Beschwerdeführers nicht eingetreten. Da er nicht im Besitz einer gültigen Aufenthalts- oder Niederlassungsbewilligung ist, wurde die Überstellung nach Rumänien in Anwendung von Art. 44 AsylG ebenfalls zu Recht angeordnet (Art. 32 Bst. a AsylV 1).</w:t>
      </w:r>
    </w:p>
    <w:p>
      <w:r>
        <w:rPr>
          <w:b/>
        </w:rPr>
        <w:t>E. 11</w:t>
      </w:r>
    </w:p>
    <w:p>
      <w:r>
        <w:t>Nach dem Gesagten ist die Beschwerde abzuweisen und die Verfügung des SEM zu bestätigen.</w:t>
      </w:r>
    </w:p>
    <w:p>
      <w:r>
        <w:rPr>
          <w:b/>
        </w:rPr>
        <w:t>E. 12</w:t>
      </w:r>
    </w:p>
    <w:p>
      <w:r>
        <w:t>Der am 10. Dezember 2020 angeordnete Vollzugsstopp fällt mit vorliegendem Urteil dahin.</w:t>
      </w:r>
    </w:p>
    <w:p>
      <w:r>
        <w:rPr>
          <w:b/>
        </w:rPr>
        <w:t>E. 13</w:t>
      </w:r>
    </w:p>
    <w:p>
      <w:r>
        <w:t>Das mit der Beschwerde gestellte Gesuch um Gewährung der unentgeltlichen Rechtspflege und Verzicht auf die Erhebung eines Kostenvorschusses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750.- festzusetzen (Art. 1 - 3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