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F-6222/2017 vom 24. März 2020</w:t>
      </w:r>
    </w:p>
    <w:p>
      <w:r>
        <w:t>Bundesverwaltungsgericht, 2020-03-24, DE</w:t>
      </w:r>
    </w:p>
    <w:p>
      <w:r>
        <w:rPr>
          <w:b/>
        </w:rPr>
        <w:t xml:space="preserve">Quelle: </w:t>
      </w:r>
      <w:r>
        <w:t>https://mcp.opencaselaw.ch/entscheid/bvger_F-6222_2017</w:t>
      </w:r>
    </w:p>
    <w:p>
      <w:r>
        <w:t>FR: TAF F-6222/2017 du 24 mars 2020</w:t>
      </w:r>
    </w:p>
    <w:p>
      <w:r>
        <w:t>IT: TAF F-6222/2017 del 24 marzo 2020</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Die Vorinstanz ist im Rahmen des Vernehmlassungsverfahrens auf die Ausschreibung der Fernhaltemassnahme im SIS II zurückgekommen und hat sie aufgehoben. In diesem Umfang ist die Beschwerde gegenstandslos geworden.</w:t>
      </w:r>
    </w:p>
    <w:p>
      <w:r>
        <w:rPr>
          <w:b/>
        </w:rPr>
        <w:t>E. 1.4</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Rechtliche Grundlage der angefochtenen Verfügung vom 11. September 2017 ist Art. 67 des Ausländer- und Integrationsgesetzes (AIG, SR 142.20). Dieser ist inhaltlich identisch mit Art. 67 des Ausländergesetzes (AuG), welches auf den 1. Januar 2019 hin eine Änderung der Bezeichnung und gewisse inhaltliche Anpassungen erfuhr. Die (anlässlich dieser Revision unverändert gebliebenen) Absätze 1 und 2 dieser Bestimmung zählen eine Reihe von Tatbeständen auf, welche ein Einreiseverbot nach sich ziehen beziehungsweise nach sich ziehen können.</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dazu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4.1</w:t>
      </w:r>
    </w:p>
    <w:p>
      <w:r>
        <w:t>Der Beschwerdeführer beanstandet, der Erlass eines Einreiseverbots mehr als acht Monate nach Widerruf der Niederlassungsbewilligung widerspreche dem Grundsatz der Rechtssicherheit und verstosse zudem gegen das Verbot widersprüchlichen Verhaltens der Verwaltungsbehörden; beides garantiert durch Art. 5 BV. Der Einwand ist unbegründet. Wohl trifft zu, dass über Erlass einer Fernhaltemassnahme idealerweise verzugslos zu befinden ist, sobald sich Umstände verwirklicht haben, die die Prüfung einer solchen Administrativmassnahme rechtfertigen können. Dabei gilt allerdings zu berücksichtigen, dass der Entscheid über Erlass eines Einreiseverbots schon nur deshalb grosse zeitliche Verzögerungen erfahren kann, weil beispielsweise vorgängig noch über den Entzug eines Aufenthaltsrechts zu befinden oder das Ende eines Strafvollzugs abzuwarten ist. Versäumt es die zuständige Behörde aus sonstigen Gründen, unmittelbar auf Begehung einer Delinquenz oder deren Beurteilung durch eine Strafinstanz über den Erlass einer Fernhaltemassnahme zu entscheiden, so bedeutet das nicht zwingend, dass ein Einreiseverbot zu einem späteren Zeitpunkt nicht mehr in Erwägung gezogen werden kann. Vielmehr ist ein solches davon abhängig zu machen, wie sich die Gefährdungslage im Zeitpunkt der konkreten Prüfung präsentiert. Dabei kann durchaus sein, dass eine im Deliktszeitpunkt bzw. im Zeitpunkt strafrichterlicher Beurteilung erhebliche Gefahr für die öffentliche Sicherheit und Ordnung in der Zwischenzeit (insbesondere aufgrund seitherigen Wohlverhaltens) abgenommen hat, was beim Entscheid, ob ein Einreiseverbot auszusprechen und falls ja, von welcher Dauer es sein soll, gebührend zu berücksichtigen ist (vgl. zum Ganzen anstelle vieler: Urteil des BVGer F-82/2016 vom 28. Juni 2017 E. 5.3).</w:t>
      </w:r>
    </w:p>
    <w:p>
      <w:r>
        <w:rPr>
          <w:b/>
        </w:rPr>
        <w:t>E. 4.2</w:t>
      </w:r>
    </w:p>
    <w:p>
      <w:r>
        <w:t>Des Weiteren rügt der Beschwerdeführer in allgemeiner Weise den Umstand, dass die Vorinstanz ihre ursprüngliche Verfügung vom 4. September 2017 durch eine solche vom 3. Oktober 2017 ersetzte und dabei die Dauer der Fernhaltemassnahme verlängerte und eine Ausschreibung im SIS verfügte. Auch diese Rüge ist unbegründet. Es stand der Vorinstanz im fraglichen Zeitpunkt, in dem die Rechtsmittelfrist noch nicht abgelaufen und auch noch keine Beschwerde hängig war, grundsätzlich frei, auf ihre Verfügung zurückzukommen und sie durch eine neue zu ersetzen. Im Übrigen sind plausible Gründe für dieses Vorgehen erkennbar, erging doch die erste Verfügung in Unkenntnis des (gleichentags erstellten) Strafregisterauszuges. Die darin enthaltenen Vorstrafen vom 22. Juni 2012 und vom 28. Juli 2016 hatten solchermassen im ersten Einreiseverbot keine Berücksichtigung gefunden.</w:t>
      </w:r>
    </w:p>
    <w:p>
      <w:r>
        <w:rPr>
          <w:b/>
        </w:rPr>
        <w:t>E. 5.1</w:t>
      </w:r>
    </w:p>
    <w:p>
      <w:r>
        <w:t>Die Vorinstanz hat das gegen den Beschwerdeführer verhängte Einreiseverbot im Wesentlichen mit Täuschungshandlungen im Zusammenhang mit einem Familiennachzugsgesuch und einer mit einer Schweizerbürgerin eingegangenen Scheinehe, aber auch mit den beiden mehrfach erwähnten Vorstrafen vom 22. Juni 2012 und 28. Juli 2016 begründet.</w:t>
      </w:r>
    </w:p>
    <w:p>
      <w:r>
        <w:rPr>
          <w:b/>
        </w:rPr>
        <w:t>E. 5.2</w:t>
      </w:r>
    </w:p>
    <w:p>
      <w:r>
        <w:t>Demgegenüber versucht der Beschwerdeführer den Delikten, die zu den beiden Vorstrafen führten, jegliche Erheblichkeit abzusprechen. Es handle sich dabei weder um schwere noch um wiederholte Straftaten; sie seien lediglich mit einer bedingten Geldstrafe und einer Busse geahndet worden. Des Weiteren will er die behördlichen Erkenntnisse bzw. gerichtlichen Beurteilungen im Zusammenhang mit ihm vorgeworfenem täuschendem Verhalten massgeblich relativieren. Zwar sei seine Ehe mit der Schweizerbürgerin rechtskräftig als Scheinehe bewertet worden. Er bestreite die Richtigkeit dieser Würdigung aber nach wie vor. Es gelte zu bedenken, dass es sich dabei nicht um mit Bestimmtheit feststellbare Verfehlungen seinerseits, sondern lediglich um eine von den Behörden vorgenommene Wertung von Umständen handle. Das Vorliegen einer Scheinehe sei in tatsächlicher Hinsicht nicht erwiesen. Analoges gelte auch für die angeblichen Falschaussagen im Zusammenhang mit dem Familiennachzugsgesuch. Aus dem Urteil des Kantonsgerichts B._______ gehe unmissverständlich hervor, dass eine Täuschung nicht nachgewiesen worden sei. Es sei lediglich vermutet worden, dass er falsche Angaben zur Wohnsituation seiner Kinder im Kosovo gemacht habe.</w:t>
      </w:r>
    </w:p>
    <w:p>
      <w:r>
        <w:rPr>
          <w:b/>
        </w:rPr>
        <w:t>E. 5.3.1</w:t>
      </w:r>
    </w:p>
    <w:p>
      <w:r>
        <w:t>Delikte wie diejenigen, die zu den Strafmandaten vom 22. Juni 2012 und vom 28. Juli 2016 führten, sind ganz grundsätzlich geeignet, als Verstoss gegen die öffentliche Sicherheit und Ordnung im Sinne von Art. 67 Abs. 2 Bst. a AIG qualifiziert zu werden.</w:t>
      </w:r>
    </w:p>
    <w:p>
      <w:r>
        <w:rPr>
          <w:b/>
        </w:rPr>
        <w:t>E. 5.3.2</w:t>
      </w:r>
    </w:p>
    <w:p>
      <w:r>
        <w:t>Des Weiteren ist auch das dem Beschwerdeführer in ausländerrechtlichen Verfahren vorgehaltene täuschende Verhalten in keiner Weise zu relativieren, vielmehr ebenfalls geeignet, als Verletzung der öffentlichen Sicherheit und Ordnung qualifiziert zu werden. So wurde der Beschwerdeführer - wie bereits erwähnt - im Zusammenhang mit seinem Familiennachzugsgesuch von der Staatsanwaltschaft des Kantons B._______ in einem Strafbefehl vom 4. April 2017 wegen Täuschung der Behörden (Art. 118 Abs. 1 AIG), begangen in der Zeit zwischen 27. Juni 2012 und 23. Januar 2017 durch falsche Angaben bzw. Verschweigen wesentlicher Tatsachen, rechtskräftig mit einer Geldstrafe belegt. Im Zusammenhang mit dem Widerruf der Niederlassungsbewilligung hielt das Bundesgericht fest, es sei in rechtlicher Hinsicht nicht zu beanstanden, dass die Vorinstanz (das Verwaltungsgericht des Kantons B._______) gestützt auf die festgestellten Umstände das Vorliegen einer Umgehungsehe bejahte (Urteil 2C_788/2016 vom 21. Dezember 2016 E. 3.2).</w:t>
      </w:r>
    </w:p>
    <w:p>
      <w:r>
        <w:rPr>
          <w:b/>
        </w:rPr>
        <w:t>E. 5.3.3</w:t>
      </w:r>
    </w:p>
    <w:p>
      <w:r>
        <w:t>Das Eingehen einer sogenannten Umgehungsehe zur unrechtmässigen Erlangung ausländerrechtlicher Vorteile wird in der Rechtsprechung des Bundesverwaltungsgerichts regelmässig als schwerwiegender Verstoss gegen die öffentliche Sicherheit und Ordnung taxiert (vgl. anstelle vieler Urteile des BVGer F-3533/2016 vom 31. Mai 2017 E. 4.3 in fine m.w.H.; C-1483/2012 vom 4. April 2014 E. 5.4). Gleiches gilt für ein Verfahren, in dem versucht wird, unter tatsachenwidrigen Angaben einen Nachzug von Familienangehörigen zu erwirken.</w:t>
      </w:r>
    </w:p>
    <w:p>
      <w:r>
        <w:rPr>
          <w:b/>
        </w:rPr>
        <w:t>E. 5.3.4</w:t>
      </w:r>
    </w:p>
    <w:p>
      <w:r>
        <w:t>Dass der Beschwerdeführer mit seinem deliktischen Verhalten, insbesondere aber mit dem täuschenden Verhalten gegenüber Behörden Fernhaltegründe im Sinne von Art. 67 Abs. 2 Bst. a AIG gesetzt hat, ist demnach nicht in Abrede zu stellen.</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6.2</w:t>
      </w:r>
    </w:p>
    <w:p>
      <w:r>
        <w:t>Vor dem Hintergrund insbesondere der gegenüber den Ausländerbehörden in mehrfacher Hinsicht begangen Täuschungshandlungen liegt die Fernhaltung des Beschwerdeführers im öffentlichen Interesse. Dies einerseits unter dem Aspekt der Spezialprävention, lässt der Beschwerdeführer doch jegliche Einsicht in die Problematik seines Verhaltens vermissen. Daneben besteht ein gewichtiges öffentliches Interesse auch unter dem Aspekt der Generalprävention, gilt es doch, zum Schutz der ausländerrechtlichen Ordnung eine konsequente Massnahmenpraxis durchzusetzen und auch Dritte von der Begehung gleichartiger Verfehlungen abzuhalten.</w:t>
      </w:r>
    </w:p>
    <w:p>
      <w:r>
        <w:rPr>
          <w:b/>
        </w:rPr>
        <w:t>E. 6.3</w:t>
      </w:r>
    </w:p>
    <w:p>
      <w:r>
        <w:t>Dem öffentlichen Interesse an seiner Fernhaltung sind die privaten Interessen des Beschwerdeführers gegenüberzustellen. Der Beschwerdeführer macht in diesem Zusammenhang die Möglichkeit von Besuchen seiner in der Schweiz lebenden Ex-Ehefrau, zu der er noch lose Kontakte pflege, sowie von in der Schweiz lebenden Familienangehörigen geltend. Die solchermassen nur pauschal geltend gemachten Interessen daran, ohne besondere Restriktionen in die Schweiz einreisen zu können, fallen allerdings nicht ins Gewicht. Die eigentliche Kernfamilie des Beschwerdeführers (die religiös angetraute Ehefrau und die gemeinsamen Kinder) leben im Kosovo. Lose Kontakte zur schweizerischen Ex-Ehefrau sind während befristeter Zeit auch anders aufrechtzuerhalten als durch Besuche in der Schweiz. Das Gleiche gilt im Zusammenhang mit den behaupteten Kontakten zu nicht näher bezeichneten Verwandten. Im Übrigen besteht die Möglichkeit, Besuche während der Dauer einer Fernhaltung im benachbarten Ausland abzuhalten, zumal keine Ausschreibung der Fernhaltemassnahme mehr im SIS II besteht oder aber - soweit andere Interessen im Spiele sind - gestützt auf Art. 67 Abs. 5 AIG eine zeitliche befristete Suspension zu beantragen, was denn auch von der Vorinstanz aus Anlass einer gerichtlichen Vorladung im Dezember 2017 gewährt wurde (Rek-act. 10).</w:t>
      </w:r>
    </w:p>
    <w:p>
      <w:r>
        <w:rPr>
          <w:b/>
        </w:rPr>
        <w:t>E. 6.4</w:t>
      </w:r>
    </w:p>
    <w:p>
      <w:r>
        <w:t>Angesichts der vorgenommenen Interessenabwägung und im Vergleich zu analogen Fällen erscheint auch die von der Vorinstanz ausgesprochene Dauer der Fernhaltemassnahme als verhältnismässig und angemessen. Dabei gilt zu berücksichtigen, dass der Beschwerdeführer die Behörden nicht nur in Bezug auf seine Ehe mit einer Schweizerbürgerin, sondern auch in Bezug auf einen von ihm angestrebten Familiennachzug zu täuschen versuchte und das - wie der Strafrichter feststellte - über einen längeren Zeitraum hinweg (zur Bedeutung der Dauer täuschenden Verhaltens vgl. Urteil des BVGer C-323/2013 vom 14. April 2014 E. 5.2).</w:t>
      </w:r>
    </w:p>
    <w:p>
      <w:r>
        <w:rPr>
          <w:b/>
        </w:rPr>
        <w:t>E. 7</w:t>
      </w:r>
    </w:p>
    <w:p>
      <w:r>
        <w:t>Nach alledem ist festzustellen, dass das auf vier Jahre befristete Einreiseverbot eine verhältnismässige und angemessene Massnahme zum Schutz der öffentlichen Sicherheit und Ordnung darstellt.</w:t>
      </w:r>
    </w:p>
    <w:p>
      <w:r>
        <w:rPr>
          <w:b/>
        </w:rPr>
        <w:t>E. 8</w:t>
      </w:r>
    </w:p>
    <w:p>
      <w:r>
        <w:t>Die Beschwerde ist demnach abzuweisen, soweit sie nicht durch teilweise Wiedererwägung gegenstandslos geworden ist.</w:t>
      </w:r>
    </w:p>
    <w:p>
      <w:r>
        <w:rPr>
          <w:b/>
        </w:rPr>
        <w:t>E. 9</w:t>
      </w:r>
    </w:p>
    <w:p>
      <w:r>
        <w:t>Entsprechend dem Ausgang des Verfahrens sind dem Beschwerdeführer die aufgelaufenen Verfahrenskosten in leicht reduziertem Umfang aufzuerlegen (Art. 63 Abs. 1 VwVG, Art. 1 ff. des Reglements über die Kosten und Entschädigungen vor dem Bundesverwaltungsgericht vom 21. Februar 2008 [VGKE, SR 173.320.2]).</w:t>
      </w:r>
    </w:p>
    <w:p>
      <w:r>
        <w:rPr>
          <w:b/>
        </w:rPr>
        <w:t>E. 10</w:t>
      </w:r>
    </w:p>
    <w:p>
      <w:r>
        <w:t>Im Umfang seines Obsiegens durch die teilweise Wiedererwägung der Vorinstanz (Aufhebung der Ausschreibung des Einreiseverbots im SIS II) ist dem Beschwerdeführer gestützt auf Art. 64 Abs. 1 VwVG eine reduzierte Parteientschädigung zuzusprechen. Demgegenüber kann seinem Antrag, ihn für angeblich erfolglose Aufwendungen seines Rechtsvertreters im Zusammenhang mit einer Beschwerde gegen die erste, von der Vorinstanz noch vor Beschwerdeanhebung wieder aufgehobene Verfügung zu entschädigen, nicht Folge gegeben werden. Eine solche Forderung kann wegen fehlender prozessualer Rechtsgrundlagen nicht im vorliegenden Verfahren behandelt werden. Sie wäre vielmehr zum Gegenstand einer gegen die Vorinstanz zu erhebenden Verantwortlichkeitsklage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