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F-6216/2020 vom 10. Mai 2022</w:t>
      </w:r>
    </w:p>
    <w:p>
      <w:r>
        <w:t>Bundesverwaltungsgericht, 2022-05-10, FR</w:t>
      </w:r>
    </w:p>
    <w:p>
      <w:r>
        <w:rPr>
          <w:b/>
        </w:rPr>
        <w:t xml:space="preserve">Quelle: </w:t>
      </w:r>
      <w:r>
        <w:t>https://mcp.opencaselaw.ch/entscheid/bvger_F-6216_2020</w:t>
      </w:r>
    </w:p>
    <w:p>
      <w:r>
        <w:t>FR: TAF F-6216/2020 du 10 mai 2022</w:t>
      </w:r>
    </w:p>
    <w:p>
      <w:r>
        <w:t>IT: TAF F-6216/2020 del 10 maggio 2022</w:t>
      </w:r>
    </w:p>
    <w:p>
      <w:pPr>
        <w:pStyle w:val="Heading2"/>
      </w:pPr>
      <w:r>
        <w:t>Regeste</w:t>
      </w:r>
    </w:p>
    <w:p>
      <w:r>
        <w:t>Assistance administrative</w:t>
      </w:r>
    </w:p>
    <w:p>
      <w:pPr>
        <w:pStyle w:val="Heading2"/>
      </w:pPr>
      <w:r>
        <w:t>Erwägungen</w:t>
      </w:r>
    </w:p>
    <w:p>
      <w:r>
        <w:rPr>
          <w:b/>
        </w:rPr>
        <w:t>E. 5.1</w:t>
      </w:r>
    </w:p>
    <w:p>
      <w:r>
        <w:t>Pour ce qui est des conditions de fond, la recourante argue en premier lieu que les informations la concernant ne rempliraient pas la condition de la pertinence vraisemblable. La recourante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est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4.1.1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 Au surplus,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l'Etat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5.1.2</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 Il sied encore de relever que le Tribunal de céans a déjà eu l'occasion de juger que les codes de domicile français figurant sur les listes B et C constituaient des critères d'assujettissement suffisants pour considérer que les renseignements requis étaient vraisemblablement pertinents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éléments suffisants pour justifier la requête d'assistance fiscale internationale,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suffisamment plausible pour que les renseignements requis soient considérés comme vraisemblablement pertinents.</w:t>
      </w:r>
    </w:p>
    <w:p>
      <w:r>
        <w:rPr>
          <w:b/>
        </w:rPr>
        <w:t>E. 5.2</w:t>
      </w:r>
    </w:p>
    <w:p>
      <w:r>
        <w:t>Dès lors que la requête de l'autorité française ne constitue pas une fishing expedition,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comme respecté (arrêt du TAF A-3045/2020 du 29 mars 2021 consid. 5.1.3). Partant, le premier grief invoqué par la recourante doit être rejeté.</w:t>
      </w:r>
    </w:p>
    <w:p>
      <w:r>
        <w:rPr>
          <w:b/>
        </w:rPr>
        <w:t>E. 5.3.1</w:t>
      </w:r>
    </w:p>
    <w:p>
      <w:r>
        <w:t>Au moyen d'un deuxième grief, la recourante reproche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son grief, la recourante avance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Faits,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Y._______ (Allemagne).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Y._______ et auprès d'autres sites [de la banque X._______ Deutschland AG] en Allemagne. Lors de la perquisition au siège de la banque X._______ Deutschland AG à Y._______,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5.3.2.1</w:t>
      </w:r>
    </w:p>
    <w:p>
      <w:r>
        <w:t>Quant à l'existence d'un lien de causalité entre les données prétendument volées et la demande d'assistance administrative dont semble se prévaloir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A.b supra ainsi que consid. 5.3.2 supra). Partant, le grief tiré de la violation du principe de la bonne foi en lien avec l'utilisation de données volées doit être rejeté.</w:t>
      </w:r>
    </w:p>
    <w:p>
      <w:r>
        <w:rPr>
          <w:b/>
        </w:rPr>
        <w:t>E. 5.4.1</w:t>
      </w:r>
    </w:p>
    <w:p>
      <w:r>
        <w:t>Dans un troisième grief, la recourante avance que les principes de spécialité et de la confiance ne seraient pas respectés dans le cas d'espèce. A l'appui de son grief, elle argue, en lien avec les courriers des 11 juillet 2017 et 14 janvier 2020,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5.4.2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cf. Faits,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5.4.3</w:t>
      </w:r>
    </w:p>
    <w:p>
      <w:r>
        <w:t>Par surabondance de moyens, la Cour de céans relève qu'elle ne nie pas que les différentes garanties fournies par la France en lien avec le respect du principe de spécialité, telles que décrites dans le consid. 5.4.2 ci-avant, concernent pour l'essentiel la banque X._______.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5.5.1</w:t>
      </w:r>
    </w:p>
    <w:p>
      <w:r>
        <w:t>Quant aux griefs relatifs à la violation du principe de subsidiarité et du principe de la bonne foi, la recourante invoque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5.5.2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5.5.3</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de la recourante. De plus, aucun élément en l'espèce ne justifie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