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F-6213/2020 vom 5. Januar 2021</w:t>
      </w:r>
    </w:p>
    <w:p>
      <w:r>
        <w:t>Bundesverwaltungsgericht, 2021-01-05, DE</w:t>
      </w:r>
    </w:p>
    <w:p>
      <w:r>
        <w:rPr>
          <w:b/>
        </w:rPr>
        <w:t xml:space="preserve">Quelle: </w:t>
      </w:r>
      <w:r>
        <w:t>https://mcp.opencaselaw.ch/entscheid/bvger_F-6213_2020</w:t>
      </w:r>
    </w:p>
    <w:p>
      <w:r>
        <w:t>FR: TAF F-6213/2020 du 5 janvier 2021</w:t>
      </w:r>
    </w:p>
    <w:p>
      <w:r>
        <w:t>IT: TAF F-6213/2020 del 5 gennaio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Das Bundesverwaltungsgericht verzichtet auf die Durchführung eines Schriftenwechsels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Im Falle einer unbegleiteten minderjährigen Person ohne familiäre Anknüpfungspunkte (zu einem anderen Mitgliedstaat) ist gemäss Art. 8 Abs. 4 Dublin-III-VO der Staat zuständig, in welchem diese einen Antrag auf internationalen Schutz gestellt hat, wobei von der Situation zum Zeitpunkt der ersten Antragstellung in einem Mitgliedstaat ausgegangen wird (vgl. Art. 7 Abs. 2 Dublin-III-VO). Da unbegleitete Minderjährige von Wiederaufnahmeverfahren ausgenommen sind (vgl. Filzwieser/Sprung, Dublin-III-VO, Wien 2014, Kap. 15 f. zu Art. 8), würde diese Bestimmung eine vorrangige Zuständigkeit der Schweiz begründen.</w:t>
      </w:r>
    </w:p>
    <w:p>
      <w:r>
        <w:rPr>
          <w:b/>
        </w:rPr>
        <w:t>E. 4.1</w:t>
      </w:r>
    </w:p>
    <w:p>
      <w:r>
        <w:t>Die Beschwerdeführerin hat keine heimatlichen Identitätsdokumente und damit keine objektiven Beweismittel eingereicht, welche Rückschlüsse auf ihr Alter zulassen würden. Sie vermag die geltend gemachte Minderjährigkeit auch nicht glaubhaft zu machen (zum Beweismass vgl. Urteil des BVGer D-4450/2018 vom 18. Februar 2019 E. 7.2). Das im Rahmen der Erstbefragung angegebene Geburtsdatum, das sie von der Familie, bei der sie aufgewachsen sei, erfahren haben soll, steht nämlich im Widerspruch zum forensischen Gutachten des Kantonsspitals D._______ vom 28. Juli 2020 (vgl. SEM-act. 17/7). Danach hat die Beschwerdeführerin zum Zeitpunkt der Untersuchung am 24. Juli 2020 das 19. Altersjahr sicher vollendet. Die Vorinstanz ist folglich zu Recht davon ausgegangen, dass sie bereits am 30. Dezember 2019 (Zeitpunkt der Einreichung ihres Asylgesuchs in Italien) volljährig gewesen ist (ca. 18 Jahre und 5 Monate). Art. 8 Abs. 4 Dublin-III-VO findet daher keine Anwendung.</w:t>
      </w:r>
    </w:p>
    <w:p>
      <w:r>
        <w:rPr>
          <w:b/>
        </w:rPr>
        <w:t>E. 4.2</w:t>
      </w:r>
    </w:p>
    <w:p>
      <w:r>
        <w:t>Die Beschwerdeführerin stellte am 30. Dezember 2019 in Italien ein Asylgesuch. Nachdem die italienischen Behörden sich innert der in Art. 25 Abs. 2 Dublin-III-VO festgelegten Frist nicht zum Wiederaufnahmegesuch des SEM geäussert haben, steht die Zuständigkeit Italiens gemäss dieser Bestimmung grundsätzlich fest.</w:t>
      </w:r>
    </w:p>
    <w:p>
      <w:r>
        <w:rPr>
          <w:b/>
        </w:rPr>
        <w:t>E. 5.1</w:t>
      </w:r>
    </w:p>
    <w:p>
      <w:r>
        <w:t>Im Lichte von Art. 3 Abs. 2 Dublin-III-VO ist sodann zu prüfen, ob es wesentliche Gründe für die Annahme gibt, das Asylverfahren und Aufnahmebedingungen für Asylsuchende in Italien würden systemische Schwachstellen aufweisen, die eine Gefahr einer unmenschlichen oder entwürdigenden Behandlung im Sinne des Artikels 4 der EU-Grundrechtcharta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(sog. Salvini-Dekret) davon auszugehen, dass Italien die Verfahrens- und Aufnahmerichtlinien einhält (vgl. das als Referenzurteil publizierte Urteil des BVGer E-962/2019 vom 17. Dezember 2019 E. 6).</w:t>
      </w:r>
    </w:p>
    <w:p>
      <w:r>
        <w:rPr>
          <w:b/>
        </w:rPr>
        <w:t>E. 5.4</w:t>
      </w:r>
    </w:p>
    <w:p>
      <w:r>
        <w:t>Unter diesen Umständen ist die Anwendung von Art. 3 Abs. 2 Dublin-III-VO nicht gerechtfertigt.</w:t>
      </w:r>
    </w:p>
    <w:p>
      <w:r>
        <w:rPr>
          <w:b/>
        </w:rPr>
        <w:t>E. 6.1</w:t>
      </w:r>
    </w:p>
    <w:p>
      <w:r>
        <w:t>Weiter ist der Frage nachzugehen, ob - wie von der Beschwerdeführerin geltend gemacht - völkerrechtliche Vollzugshindernisse nach Art. 3 EMRK bestehen, woraus sich zwingende Gründe für einen Selbsteintritt nach Art. 17 Abs. 1 Dublin-III-VO ergeben würden. Diesbezüglich führt die Beschwerdeführerin - ergänzend zu ihrer Eingabe vom 18. November 2020 bei der Vorinstanz - im Wesentlichen aus, als Opfer von FGM sowie als alleinstehende jugendliche Frau gelte sie als besonders verletzliche Person. Zwar sei ihr Allgemeinzustand gut. Dabei gehe es aber nicht nur um die durch die Genitalverstümmelung verursachten körperlichen Beeinträchtigungen, sondern auch um die damit verbundenen geistigen Langzeitfolgen. So sei sie auf Hilfsdienste angewiesen, die auf die besonderen Bedürfnisse von FGM-Opfern spezialisiert seien. Sie komme nicht zur Ruhe, könne nicht schlafen und wisse mit der Situation nicht umzugehen. Seit ihrer Ankunft in der Schweiz habe sie sich jeweils an den Wochenenden - teils auch unter der Woche - bei der Familie ihres Cousins aufgehalten und dort grosse emotionale und materielle Unterstützung erfahren. Diese Unterstützung wäre im Falle einer Überstellung nach Italien nicht gewährleistet (ungenügende medizinische Betreuung, Entzug von Aufnahmebedingungen, lediglich Notunterkünfte oder Leben auf der Strasse, erhebliches Risiko der Aussetzung von sexueller Gewalt). Die Vorinstanz habe sich mit der Frage der adäquaten Unterbringung und Betreuung in Italien nicht ernsthaft auseinandergesetzt und es unterlassen, diesbezüglich bei den italienischen Behörden eine schriftliche individuelle Garantie einzuholen. Insofern sei der Sachverhalt nicht rechtsgenüglich abgeklärt worden.</w:t>
      </w:r>
    </w:p>
    <w:p>
      <w:r>
        <w:rPr>
          <w:b/>
        </w:rPr>
        <w:t>E. 6.2.1</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Die Beschwerdeführerin fällt aber nicht in diese Kategorie. Fest steht, dass eine zwangsweise Rückweisung von Personen mit gesundheitlichen Problemen nur ganz ausnahmsweise einen Verstoss gegen Art. 3 EMRK darstellen kann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 der Beschwerdeführerin nicht ausgegangen werden. Nach ihrer Operation im Oktober 2020 klagte sie nicht mehr über (körperliche) Schmerzen. Gemäss Arztbericht vom 26. Oktober 2020 verlief eine postoperative Kontrolle unauffällig. Weitere Termine stehen nicht an. Der Umstand, dass sie sich mehrere Male aus dem BAZ F._______ entfernte, erst wieder nach einigen Tagen auftauchte und deswegen einen Termin im Kantonsspital E._______ verpasste, erweckt - wie die Vorinstanz zutreffend festhielt - nicht den Eindruck, dass sie zur Bewältigung allfälliger psychischer Folgen der Genitalverstümmelung entsprechende spezielle Beratungen und Unterstützungen in Anspruch nehmen will. Zwar trifft es zu, dass insbesondere eine emotionale Unterstützung durch die Familie ihres Cousins in der Schweiz ihr bei der Bewältigung der oben erwähnten psychischen Folgen helfen kann. Der Wegfall dieser Unterstützung bei einer Überstellung nach Italien ändert aber nichts daran, dass sie kein schweres medizinisches Leiden hat, welches nach der Ankunft in Italien eine sofortige und lückenlose medizinische Versorgung im Sinne der Rechtsprechung erfordern würde. In Anbetracht der gegebenen Umstände war die Vorinstanz demnach nicht gehalten, bei den italienischen Behörden konkrete Garantien für eine gebührende Aufnahme einzuholen (vgl. Urteil E-962/2019 E. 7.4.3). Eine Rückweisung der Sache aus diesem Grund erübrigt sich somit.</w:t>
      </w:r>
    </w:p>
    <w:p>
      <w:r>
        <w:rPr>
          <w:b/>
        </w:rPr>
        <w:t>E. 6.2.2</w:t>
      </w:r>
    </w:p>
    <w:p>
      <w:r>
        <w:t>Unbehelflich ist ferner der Hinweis der Beschwerdeführerin auf die Rechtsprechung der Schweizerischen Asylrekurskommission, wonach FGM sowohl psychisches als auch physisches Leid verursache und einer asylrelevanten Verfolgung gleichkomme (vgl. EMARK 2004/14 E. 5 ff.). In jenem Fall ging es nämlich um die Beurteilung der Zulässigkeit des Wegweisungsvollzugs, wenn einer Frau oder einem Mädchen in ihrem Herkunftsstaat eine Genitalverstümmelung droht. In casu geht es hingegen um eine Frau, die bereits Opfer einer Genitalverstümmelung war. Auch die Frage der Wegweisung in den Herkunftsstaat stellt sich hier nicht.</w:t>
      </w:r>
    </w:p>
    <w:p>
      <w:r>
        <w:rPr>
          <w:b/>
        </w:rPr>
        <w:t>E. 6.2.3</w:t>
      </w:r>
    </w:p>
    <w:p>
      <w:r>
        <w:t>Im Übrigen ist darauf hinzuweisen, dass Italien grundsätzlich über eine ausreichende medizinische Infrastruktur verfügt (vgl. statt vieler: Urteile des BVGer D-2846/2020 vom 16. Juli 2020 E. 6.2.1; E-6298/2019 vom 5. Dezember 2019; F-4617/2019 vom 14. Oktober 2019 E. 5.3). Es darf davon ausgegangen werden, dass dieser Dublin-Mitgliedstaat die Rechte aus der Aufnahmerichtlinie anerkennt und schützt. In Übereinstimmung mit der Vorinstanz liegen keine Hinweise dafür vor, wonach Italien der Beschwerdeführerin, nachdem sie in der Schweiz operiert wurde und sie derzeit keine physischen Schmerzen hat, eine allfällige medizinische Behandlung - sofern notwendig - verweigern würde. Der Zugang für asylsuchende Personen zum italienischen Gesundheitssystem über die Notversorgung hinaus ist derzeit grundsätzlich gewährleistet, auch wenn es in der Praxis zu zeitlichen Verzögerungen kommen kann (vgl. Urteil E-962/2019 E. 6.2.7). Die Beschwerdeführerin könnte sich nötigenfalls an die italienischen Behörden wenden und die ihr zustehenden Aufnahmebedingungen auf dem Rechtsweg einfordern (vgl. Art. 26 Aufnahmerichtlinie).</w:t>
      </w:r>
    </w:p>
    <w:p>
      <w:r>
        <w:rPr>
          <w:b/>
        </w:rPr>
        <w:t>E. 6.2.4</w:t>
      </w:r>
    </w:p>
    <w:p>
      <w:r>
        <w:t>Schliesslich ist auch nicht zu befürchten, dass die Beschwerdeführerin als junge alleinstehende Frau bei einer Überstellung in Italien sexueller Gewalt ausgesetzt wäre und/oder in eine existenzielle Notlage geraten würde. So hat sie sich mehre Monate in Italien aufgehalten und ist gemäss ihren eigenen Angaben einmal von betrunkenen Männern verletzt worden. Einer direkten sexuellen Gewalt war sie aber nie ausgesetzt. Es liegen keine Anhaltspunkte dafür vor, dass sie bei der Rückkehr nach Italien einer menschenunwürdigen oder erniedrigenden Behandlung im Sinne von Art. 3 EMRK ausgesetzt wäre.</w:t>
      </w:r>
    </w:p>
    <w:p>
      <w:r>
        <w:rPr>
          <w:b/>
        </w:rPr>
        <w:t>E. 6.2.5</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werden (vgl. Art. 31 f. Dublin-III-VO).</w:t>
      </w:r>
    </w:p>
    <w:p>
      <w:r>
        <w:rPr>
          <w:b/>
        </w:rPr>
        <w:t>E. 6.3</w:t>
      </w:r>
    </w:p>
    <w:p>
      <w:r>
        <w:t>Zusammenfassend liegt weder ein zwingender Grund für einen Selbsteintritt auf das Asylgesuch vor noch besteht Anlass für die Anwendung der Ermessensklausel von Art. 17 Abs. 1 Dublin-III-VO, beziehungsweise der - das Selbsteintrittsrecht im Landesrecht konkretisierenden - Bestimmung von Art. 29a Abs. 1 AsylV 1, gemäss welcher das SEM das Asylgesuch "aus humanitären Gründen" auch dann behandeln kann, wenn dafür gemäss Dublin-III-VO ein anderer Staat zuständig wäre. Italien ist als zuständiger Mitgliedstaat verpflichtet, die Beschwerdeführerin wiederaufzunehmen. Die Vorinstanz ist demnach zu Recht gestützt auf Art. 31a Abs. 1 Bst. b AsylG auf ihr Asylgesuch nicht eingetreten und hat die Überstellung nach Italien angeordnet.</w:t>
      </w:r>
    </w:p>
    <w:p>
      <w:r>
        <w:rPr>
          <w:b/>
        </w:rPr>
        <w:t>E. 7</w:t>
      </w:r>
    </w:p>
    <w:p>
      <w:r>
        <w:t>Nach dem Gesagten ist die Beschwerde abzuweisen, und mit dem Urteil in der Sache wird das Gesuch um Erteilung der aufschiebenden Wirkung der Beschwerde gegenstandslos. Der am 9. Dezember 2020 angeordnete Vollzugsstopp fällt mit dem vorliegenden Urteil dahin.</w:t>
      </w:r>
    </w:p>
    <w:p>
      <w:r>
        <w:rPr>
          <w:b/>
        </w:rPr>
        <w:t>E. 8</w:t>
      </w:r>
    </w:p>
    <w:p>
      <w:r>
        <w:t>Die Beschwerdeführerin beantragt die Gewährung der unentgeltlichen Prozessführung gemäss Art. 65 Abs. 1 VwVG. Ihre Bedürftigkeit geht aus den Akten hervor.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