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F-6212/2024 vom 7. Oktober 2024</w:t>
      </w:r>
    </w:p>
    <w:p>
      <w:r>
        <w:t>Bundesverwaltungsgericht, 2024-10-07, DE</w:t>
      </w:r>
    </w:p>
    <w:p>
      <w:r>
        <w:rPr>
          <w:b/>
        </w:rPr>
        <w:t xml:space="preserve">Quelle: </w:t>
      </w:r>
      <w:r>
        <w:t>https://mcp.opencaselaw.ch/entscheid/bvger_F-6212_2024</w:t>
      </w:r>
    </w:p>
    <w:p>
      <w:r>
        <w:t>FR: TAF F-6212/2024 du 7 octobre 2024</w:t>
      </w:r>
    </w:p>
    <w:p>
      <w:r>
        <w:t>IT: TAF F-6212/2024 del 7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Rahmen des sogenannten Wiederaufnahmeverfahrens (engl.: take back) - um das es sich vorliegend handelt - grundsätzlich keine (erneute) Zuständigkeitsprüfung statt (vgl. zum Ganzen BVGE 2017 VI/5 E. 6.2 und 8.2.1 m.w.H.). Gestützt auf Art. 18 Abs. 1 Bst. d Dublin-III-VO ist der nach dieser Verordnung zuständige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w:t>
      </w:r>
    </w:p>
    <w:p>
      <w:r>
        <w:rPr>
          <w:b/>
        </w:rPr>
        <w:t>E. 4.3</w:t>
      </w:r>
    </w:p>
    <w:p>
      <w:r>
        <w:t>Ein Abgleich der Fingerabdrücke des Beschwerdeführers mit der Eurodac-Datenbank ergab, dass er am 21. April 2022 in Frankreich ein Asylgesuch stellte (vgl. SEM-act. 9/1). Die französischen Behörden stimmten dem Übernahmeersuchen der Vorinstanz mit Schreiben vom 10. September 2024 gestützt auf Art. 18 Abs. 1 Bst. d Dublin-III-VO ausdrücklich zu (vgl. SEM-act. 23/2). Darüber hinaus reichte der Beschwerdeführer auch eine bis zum 4. Dezember 2024 gültige Aufenthaltsbewilligung für Frankreich ein («carte de sejour temporaire/vie privée et familiale» [vgl. SEM-act. 3/2]), wodurch die grundsätzliche Zuständigkeit Frankreichs für die Prüfung des vorliegenden Antrags auf internationalen Schutz auch nach Art. 12 Abs. 1 Dublin-III-VO gegeben wäre.</w:t>
      </w:r>
    </w:p>
    <w:p>
      <w:r>
        <w:rPr>
          <w:b/>
        </w:rPr>
        <w:t>E. 5</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wobei das Land nach Auffassung der Schweiz seinen diesbezüglichen völkerrechtlichen Verpflichtungen nachkommt. Das Gleiche gilt auch für die Rechte, die sich für Schutzsuchende aus den Richtlinien des Europäischen Parlaments und des Rates ergeben (vgl. insbes.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An dieser Einschätzung vermögen die Ausführungen des Beschwerdeführers, wonach er in Frankreich keine Unterstützungsleistungen erhalten habe, nichts zu ändern. Die Anwendung von Art. 3 Abs. 2 Dublin-III-VO fällt somit nicht in Betracht.</w:t>
      </w:r>
    </w:p>
    <w:p>
      <w:r>
        <w:rPr>
          <w:b/>
        </w:rPr>
        <w:t>E. 6.1</w:t>
      </w:r>
    </w:p>
    <w:p>
      <w:r>
        <w:t>Nachfolgend ist zu prüfen, ob die Schweiz - wie vom Beschwerdeführer implizit gefordert - das Selbsteintrittsrecht nach Art. 17 Abs. 1 Satz 1 Dublin-III-VO (konkretisiert in Art. 29a Abs. 3 AsylV 1) auszuüben hat.</w:t>
      </w:r>
    </w:p>
    <w:p>
      <w:r>
        <w:rPr>
          <w:b/>
        </w:rPr>
        <w:t>E. 6.2</w:t>
      </w:r>
    </w:p>
    <w:p>
      <w:r>
        <w:t>Im Rahmen des Dublin-Systems gilt die Vermutung, dass alle Mitgliedstaaten des Dublin-Raums ihren völkerrechtlichen Verpflichtungen nachkommen. Diese Vermutung kann jedoch durch ernsthafte Hinweise dafür, dass die Behörden des zuständigen Dublin-Staats im konkreten Fall das internationale Recht nicht respektieren, widerlegt werden (vgl. BVGE 2010/40 E. 7.4 f.). Wie bereits erwähnt (vgl. hiervor E. 5), gelingt dies dem Beschwerdeführer nicht. Entgegen seiner im Dublin-Gespräch (vgl. SEM-act. 16/2) und in der Beschwerde erhobenen Behauptungen die Unterbringung und die medizinische Versorgung betreffend, gibt es auch keinen Grund zur Annahme, die ihn bei einer Rückführung erwartenden Bedingungen in Frankreich seien derart schlecht, dass sie zu einer Verletzung von Art. 4 der EU-Grundrechtecharta (GRC; ABl. C 364/1 vom 18. Dezember 2000), Art. 3 EMRK oder Art. 3 FoK führen könnten.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an die dortigen Behörden wenden und die ihm zustehenden Aufnahmebedingungen auf dem Rechtsweg einfordern (vgl. Art. 26 Aufnahmerichtlinie). Somit besteht auch kein Anlass, die Vorinstanz anzuweisen, Zusicherungen betreffend Obdach, Nahrung und adäquate medizinische Behandlung einzuholen. Das entsprechende Subeventualbegehren ist abzuweisen.</w:t>
      </w:r>
    </w:p>
    <w:p>
      <w:r>
        <w:rPr>
          <w:b/>
        </w:rPr>
        <w:t>E. 6.3</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 Der Beschwerdeführer macht diesbezüglich psychische Beschwerden geltend, die einer Rückführung nach Frankreich entgegenstehen würden. Im jüngsten aktenkundigen psychiatrischen Arztbericht vom 30. August 2024 werden ihm als Hauptdiagnose eine paranoide Schizophrenie sowie psychische und Verhaltensstörungen durch Cannabinoide diagnostiziert (vgl. SEM-act. 27/5). Dieser Befund spiegelt sich auch in seinen auffälligen und gewalttätigen Verhalten in der Asylunterbringung (vgl. SEM-act. 25/3, 31/3) sowie in einer Meldung im Schengener Informationssystem (SIS), wonach ihn betreffend eine Warnung als gewalttätige Person aufgeführt wird (vgl. SEM-act. 6/2), wider. Diese Umstände begründen aber keine schwerwiegende gesundheitliche Beeinträchtigung, welche bei einer Überstellung nach Frankreich gemäss der gerade erwähnten Rechtsprechung zu einer Verletzung von Art. 3 EMRK führen könnten. Frankreich verfügt grundsätzlich über eine ausreichende medizinische Infrastruktur, weshalb seine gesundheitlichen Beschwerden auch dortzulande behandelt werden können. Dass er Zugang zu dieser Infrastruktur hat, beweisen nicht zuletzt auch die an ihm in Frankreich durchgeführten medizinischen Untersuchungen (vgl. SEM-act. 20/8, 21/4).</w:t>
      </w:r>
    </w:p>
    <w:p>
      <w:r>
        <w:rPr>
          <w:b/>
        </w:rPr>
        <w:t>E. 6.4</w:t>
      </w:r>
    </w:p>
    <w:p>
      <w:r>
        <w:t>Die Vorbringen des Beschwerdeführers stehen nach dem Gesagten einer Überstellung nach Frankreich nicht entgegnen, weshalb die Vorinstanz das Selbsteintrittsrecht von Art. 17 Dublin-III-VO sowie Art. 29a Abs. 3 AsylV 1 zu Recht nicht ausgeübt hat. Weder ist die Schweiz völkerrechtlich verpflichtet, auf das Asylgesuch einzutreten, noch liegen humanitäre Gründe vor, welche einen Selbsteintritt nahelegen würden.</w:t>
      </w:r>
    </w:p>
    <w:p>
      <w:r>
        <w:rPr>
          <w:b/>
        </w:rPr>
        <w:t>E. 7</w:t>
      </w:r>
    </w:p>
    <w:p>
      <w:r>
        <w:t>Schliesslich ist auch nicht ersichtlich, inwiefern die Vorinstanz zu gewissen Sachverhaltselementen noch konkretere Abklärungen hätte vornehmen müssen. Der vom Beschwerdeführer mit der Beschwerde eingereichte Arztbericht vom 11. Dezember 2023 war bereits aktenkundig (vgl. BVGer-act. 1, Beilage 2; SEM-act. 21/4). Der Eventualantrag zur Rückweisung der Sache an die Vorinstanz für weitere Sachverhaltsabklärungen erweist sich als nicht substantiiert und ist daher abzuweisen.</w:t>
      </w:r>
    </w:p>
    <w:p>
      <w:r>
        <w:rPr>
          <w:b/>
        </w:rPr>
        <w:t>E. 8</w:t>
      </w:r>
    </w:p>
    <w:p>
      <w:r>
        <w:t>Die Vorinstanz ist demnach zu Recht nach Art. 31a Abs. 1 Bst. b AsylG auf das Asylgesuch des Beschwerdeführers nicht eingetreten und hat in Anwendung von Art. 44 AsylG die Wegweisung nach Frankreich angeordnet. Die Beschwerde ist abzuweisen und die angefochtene Verfügung zu bestätigen.</w:t>
      </w:r>
    </w:p>
    <w:p>
      <w:r>
        <w:rPr>
          <w:b/>
        </w:rPr>
        <w:t>E. 9</w:t>
      </w:r>
    </w:p>
    <w:p>
      <w:r>
        <w:t>Mit vorliegendem Urteil in der Hauptsache sind die Gesuche um Gewährung der aufschiebenden Wirkung (nach Art. 107a Abs. 2 AsylG) und um Befreiung von der Kostenvorschusspflicht (gemäss Art. 63 Abs. 4 VwVG) gegenstandslos geworden. Der am 2. Oktober 2024 verfügte Vollzugsstopp fällt mit dem vorliegenden Urteil ebenfalls dahin.</w:t>
      </w:r>
    </w:p>
    <w:p>
      <w:r>
        <w:rPr>
          <w:b/>
        </w:rPr>
        <w:t>E. 10</w:t>
      </w:r>
    </w:p>
    <w:p>
      <w:r>
        <w:t>Das Gesuch um Gewährung der unentgeltlichen Rechtspflege ist abzuweisen, da die Begehren - wie sich aus den vorstehenden Erwägungen ergibt - als aussichtslos zu bezeichnen sind (Art. 65 Abs. 1 VwVG). Angesichts des Ausgangs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