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F-6205/2019 vom 17. August 2020</w:t>
      </w:r>
    </w:p>
    <w:p>
      <w:r>
        <w:t>Bundesverwaltungsgericht, 2020-08-17, DE</w:t>
      </w:r>
    </w:p>
    <w:p>
      <w:r>
        <w:rPr>
          <w:b/>
        </w:rPr>
        <w:t xml:space="preserve">Quelle: </w:t>
      </w:r>
      <w:r>
        <w:t>https://mcp.opencaselaw.ch/entscheid/bvger_F-6205_2019</w:t>
      </w:r>
    </w:p>
    <w:p>
      <w:r>
        <w:t>FR: TAF F-6205/2019 du 17 août 2020</w:t>
      </w:r>
    </w:p>
    <w:p>
      <w:r>
        <w:t>IT: TAF F-6205/2019 del 17 agosto 2020</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(Art. 112 Abs. 1 AIG [SR 142.20] i.V.m. Art. 31 ff. VGG). Das Rechtsmittelverfahren richtet sich nach dem VwVG, soweit das VGG nichts anderes bestimmt (Art. 37 VGG).</w:t>
      </w:r>
    </w:p>
    <w:p>
      <w:r>
        <w:rPr>
          <w:b/>
        </w:rPr>
        <w:t>E. 1.2</w:t>
      </w:r>
    </w:p>
    <w:p>
      <w:r>
        <w:t>Die Beschwerdeführerin hat am vorangegangenen Einspracheverfahren teilgenommen und ist Gastgeberin und Verwandte der Gesuchstellerin. Sie ist zur Erhebung des Rechtsmittels legitimiert (Art. 48 Abs. 1 VwVG). Auf die frist- und formgerechte Beschwerde ist daher einzutreten (vgl. Art. 50 und 52 VwVG).</w:t>
      </w:r>
    </w:p>
    <w:p>
      <w:r>
        <w:rPr>
          <w:b/>
        </w:rPr>
        <w:t>E. 1.3</w:t>
      </w:r>
    </w:p>
    <w:p>
      <w:r>
        <w:t>In der vorliegenden Angelegenheit entscheidet das Bundesverwaltungsgericht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w:t>
      </w:r>
    </w:p>
    <w:p>
      <w:r>
        <w:t>Der angefochtenen Verfügung liegt das Gesuch einer kosovarischen Staatsangehörigen um Erteilung eines Visums für einen Besuchsaufenthalt im Schengen-Raum zugrunde. Da sich die Gesuchstellerin nicht auf die EU/EFTA-Personenfreizügigkeitsabkommen berufen kann und die beabsichtigte Aufenthaltsdauer 90 Tage innerhalb eines Zeitraums von 180 Tagen nicht überschreitet, fällt die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und seine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vom 15. August 2018 über die Einreise und die Visumerteilung [VEV, SR 142.204]); vgl. auch Art. 2 Ziff. 6 SGK; Art. 5 Abs. 1 Bst. a AIG). Als Staatsangehörige der Republik Kosovo unterliegt die Eingeladene unbestrittenermassen der Visumpflicht (Anhang I der bereits erwähnten Verordnung Nr. 2018/1806; Art. 8 Abs. 1 VEV).</w:t>
      </w:r>
    </w:p>
    <w:p>
      <w:r>
        <w:rPr>
          <w:b/>
        </w:rPr>
        <w:t>E. 4.2</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w:t>
      </w:r>
    </w:p>
    <w:p>
      <w:r>
        <w:rPr>
          <w:b/>
        </w:rPr>
        <w:t>E. 4.4</w:t>
      </w:r>
    </w:p>
    <w:p>
      <w:r>
        <w:t>Sind sämtliche Voraussetzungen für die Visumerteilung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Visumerteilung erfüllt sind, ein weiter Beurteilungsspielraum zu (BVGE 2014/1 E. 4.1.5 in fine).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In der Regel lassen sich keine gesicherten Feststellungen darüber treffen, ob eine drittstaatsangehörige Person tatsächlich beabsichtigt, den Schengen-Raum vor Ablauf des Visums wieder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Im Zusammenhang mit der allgemeinen Lage im Kosovo weist die Vorinstanz auf die schwierigen wirtschaftlichen Verhältnisse und den damit verbundenen Migrationsdruck hin. Diese Einschätzung ist nicht zu beanstanden (vgl. etwa Urteil des BVGer F-7232/2018 vom 8. August 2019 E. 5.2 m.H.). Nach Angaben der Weltbank lag das Pro-Kopf-Einkommen im Jahr 2015 bei 4'000 USD, das Brutto-Inland-Produkt (BIP) bei insgesamt etwa 5,5 Mrd Euro. Damit bleibt Kosovo das ärmste Land auf dem Balkan. Offiziellen Angaben zufolge liegt die Arbeitslosigkeit bei über 35 %, bei Jugendlichen sogar deutlich höher. Hauptmotor der Wirtschaft bilden nach wie vor die aus der Diaspora fliessenden Transferleistungen (Website der Deutschen Botschaft Pristina: https://pristina.diplo.de &gt; Themen &gt; Wirtschaft &gt; Wirtschaftsübersicht Kosovo [Artikel], zuletzt besucht im Juni 2020).</w:t>
      </w:r>
    </w:p>
    <w:p>
      <w:r>
        <w:rPr>
          <w:b/>
        </w:rPr>
        <w:t>E. 5.3</w:t>
      </w:r>
    </w:p>
    <w:p>
      <w:r>
        <w:t>Statistisch gesehen sind allein im Jahr 2018 2'491 Personen kosovarischer Staatsangehörigkeit in die Schweiz eingewandert. Die grosse Mehrheit dieser Personen gehört zur Altersgruppe der 20- bis 39-jährigen (1'949 Personen) (vgl. dazu Bundesamt für Statistik (Bfs): https://www.bfs.admin.ch &gt; Statistiken &gt; Kataloge-Datenbanken &gt; Tabellen &gt; Einwanderung der ständigen ausländischen Wohnbevölkerung nach Staatsangehörigkeit, Geschlecht und Alter, 1991-2018, zuletzt besucht im Juni 2020).</w:t>
      </w:r>
    </w:p>
    <w:p>
      <w:r>
        <w:rPr>
          <w:b/>
        </w:rPr>
        <w:t>E. 5.4</w:t>
      </w:r>
    </w:p>
    <w:p>
      <w:r>
        <w:t>Aufgrund des erhobenen statistischen Materials, der hohen Arbeitslosigkeit bei kosovarischen Jugendlichen und jungen Erwachsenen sowie der Tatsache, dass Transferzahlungen aus der Diaspora eine wichtige Rolle in der Wirtschaft Kosovos zukommt, ist nicht zu beanstanden, dass die Vorinstanz das Risiko einer nicht fristgerechten Wiederausreise allgemein als erheblich einschätzt. Dieses Risiko wird erfahrungsgemäss noch akzentuiert, wenn durch die Anwesenheit von Verwandten oder Freunden in der Schweiz bereits ein soziales Beziehungsnetz besteht. Angesichts der restriktiven Zulassungsregelung führt dies nicht selten zur Umgehung von ausländerrechtlichen Bestimmungen, indem nach erfolgter Einreise versucht wird, den Aufenthalt auf eine andere rechtliche oder faktische Basis zu stellen (BVGE 2014/1 E. 6.2.2 m.H.).</w:t>
      </w:r>
    </w:p>
    <w:p>
      <w:r>
        <w:rPr>
          <w:b/>
        </w:rPr>
        <w:t>E. 6.1</w:t>
      </w:r>
    </w:p>
    <w:p>
      <w:r>
        <w:t>Neben den allgemeinen Umständen im Herkunftsland sind - wie erwähnt - sämtliche Gesichtspunkte des konkreten Einzelfalles zu berücksichtigen. Obliegt der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w:t>
      </w:r>
    </w:p>
    <w:p>
      <w:r>
        <w:rPr>
          <w:b/>
        </w:rPr>
        <w:t>E. 6.2.1</w:t>
      </w:r>
    </w:p>
    <w:p>
      <w:r>
        <w:t>Mit der Vorinstanz ist davon auszugehen, dass der Gesuchstellerin im Kosovo keine besonderen familiären oder gesellschaftlichen Verpflichtungen obliegen, welche vor dem Hintergrund der allgemeinen Situation in diesem Land das Risiko einer nicht anstandslosen Wiederausreise als gering erscheinen liessen. Die Gesuchstellerin ist jung, ledig und hat keine Kinder. Zu ihren familiären Verhältnissen gab sie gegenüber der schweizerischen Vertretung offenbar telefonisch zur Auskunft, ihr Vater sei im Krieg ums Leben gekommen. Ihre Mutter habe später wieder geheiratet. Deshalb lebten sie und ihre Schwester bei der Familie ihres Onkels (Telefonnotiz vom 5. August 2019 [SEM-act. 3/24]). Letzterer Umstand wird mit einer eingereichten «Declaration on Joint Household» vom 1. Juli 2019 belegt (SEM-act. 3/21). Die Beschwerdeführerin vertritt den Standpunkt, dass das von der Gesuchstellerin betriebene Studium an einer Universität in [Kosovo] wesentliche Gewähr biete für eine Rückkehr dorthin nach dem angestrebten Besuchsaufenthalt in der Schweiz. Die Vorinstanz stellte in der angefochtenen Verfügung die Ernsthaftigkeit dieses Studiums in Zweifel, zumal die Gesuchstellerin im Jahr 2014 begonnen und bis 2017 insgesamt bloss 85, bis Ende Oktober 2019 total lediglich 96 Kreditpunkte gesammelt habe, anstelle der jährlich zu erbringenden 60. Dabei stützte sich die Vorinstanz zum einen auf entsprechende Belege der Gesuchstellerin, zum anderen - insbesondere was die Anforderungen an das Studium betrifft - auf Auskünfte der Schweizerischen Botschaft (Aktennotizen der Vertretung vom 19. Juli 2017 [elektronisches Dossier des SEM p. 166] und 5. August 2019 [SEM-act. 3/23]). Gemäss einem von der Beschwerdeführerin mit ihrer Rechtsmitteleingabe edierten neueren Beleg («transkripta e notave» vom 26. Oktober 2019) verbuchte die Gesuchstellerin bis zu diesem Zeitpunkt total 106 Kreditpunkte. Die Beschwerdeführerin bestreitet nicht, dass die Gesuchstellerin damit möglicherweise universitäre Vorgaben nicht erfüllt. In ihrer Beschwerde geht sie gar nicht auf diese Umstände ein. In einer unaufgefordert eingereichten Eingabe vom 25. Mai 2010 (BVGer-act. 7) weist sie zwar darauf hin, dass es für die Gesuchstellerin «wegen Corona» sehr schwierig sei, das angefangene Studium weiterzuführen. Das kann allerdings keine Erklärung für offenbar schon seit Jahren in zu geringem Umfang erbrachte Leistungen sein. Ebenfalls keine Erklärung dafür kann ein als Beilage zur Beschwerde ediertes, undatiertes Schreiben sein, in welchem die Gesuchstellerin ausführt, sie müsse, da sie keine Eltern mehr habe, im Kosovo neben dem Studium einer Arbeit nachgehen, um wirtschaftlich überleben zu können. Darunter hätten anfänglich ihre Leistungen im Studium gelitten. Dieser Darstellung steht entgegen, dass die Gesuchstellerin die meisten Kreditpunkte in den ersten Jahren ihres Studiums gesammelt hat, und der mit der Beschwerde kommentarlos eingereichte Arbeitsvertrag vom 1. September 2019 datiert.</w:t>
      </w:r>
    </w:p>
    <w:p>
      <w:r>
        <w:rPr>
          <w:b/>
        </w:rPr>
        <w:t>E. 6.2.2</w:t>
      </w:r>
    </w:p>
    <w:p>
      <w:r>
        <w:t>Vor diesem Hintergrund ist nicht zu beanstanden, wenn die Vorinstanz in diesem Studium keine besondere Gewähr für eine fristgerechte Wiederausreise nach einem Besuchsaufenthalt in der Schweiz zu erblicken vermochte.</w:t>
      </w:r>
    </w:p>
    <w:p>
      <w:r>
        <w:rPr>
          <w:b/>
        </w:rPr>
        <w:t>E. 6.2.3</w:t>
      </w:r>
    </w:p>
    <w:p>
      <w:r>
        <w:t>Unerheblich ist schliesslich, dass die Beschwerdeführerin für die Rückkehr der Gesuchstellerin persönlich bürgen will. Gastgeber können für ein bestimmtes Tun oder Unterlassen ihres Gastes nicht rechtswirksam einstehen (BVGE 2014/1 E. 6.3.7; 2009/27 E. 9).</w:t>
      </w:r>
    </w:p>
    <w:p>
      <w:r>
        <w:rPr>
          <w:b/>
        </w:rPr>
        <w:t>E. 7</w:t>
      </w:r>
    </w:p>
    <w:p>
      <w:r>
        <w:t>Mit der fehlenden Gewähr für eine anstandslose Wiederausreise ist eine zwingende Voraussetzung zur Erteilung eines Schengen-Visums nicht erfüllt. Gründe humanitärer oder anderer Art, die die Erteilung eines Visums mit räumlich beschränkter Gültigkeit gerechtfertigt hätten (vgl. dazu E. 4.5 vorstehend), wurden nicht geltend gemacht.</w:t>
      </w:r>
    </w:p>
    <w:p>
      <w:r>
        <w:rPr>
          <w:b/>
        </w:rPr>
        <w:t>E. 8</w:t>
      </w:r>
    </w:p>
    <w:p>
      <w:r>
        <w:t>Aus den vorstehenden Erwägungen folgt, dass die angefochtene Verfügung im Lichte von Art. 49 VwVG nicht zu beanstanden ist. Die Beschwerde ist daher abzuweisen.</w:t>
      </w:r>
    </w:p>
    <w:p>
      <w:r>
        <w:rPr>
          <w:b/>
        </w:rPr>
        <w:t>E. 9</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