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F-6201/2015 vom 15. Juli 2016</w:t>
      </w:r>
    </w:p>
    <w:p>
      <w:r>
        <w:t>Bundesverwaltungsgericht, 2016-07-15, DE</w:t>
      </w:r>
    </w:p>
    <w:p>
      <w:r>
        <w:rPr>
          <w:b/>
        </w:rPr>
        <w:t xml:space="preserve">Quelle: </w:t>
      </w:r>
      <w:r>
        <w:t>https://mcp.opencaselaw.ch/entscheid/bvger_F-6201_2015</w:t>
      </w:r>
    </w:p>
    <w:p>
      <w:r>
        <w:t>FR: TAF F-6201/2015 du 15 juillet 2016</w:t>
      </w:r>
    </w:p>
    <w:p>
      <w:r>
        <w:t>IT: TAF F-6201/2015 del 15 luglio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vorliegender Sache endgültig (Art. 83 Bst. c Ziff. 1 BGG; vgl. hinten E. 5.3.1).</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Abs.1 AuG verfügt das SEM ein Einreiseverbot unter Vorbehalt von Absatz 5 gegenüber weggewiesenen Ausländerinnen und Ausländern, wenn die Wegweisung nach Art. 64d Abs. 2 Bst. a - c AuG sofort vollstreckt wird (Bst. a) oder die betroffene Person der Ausreiseverpflichtung nicht innert der angesetzten Frist nachgekommen ist (Bst. b). Gemäss Art. 67 Abs. 2 AuG kann das SEM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erlassen. Das Einreiseverbot wird für die Dauer von höchstens fünf Jahren verfügt. Eine längere Dauer kann angeordnet werden, wenn die betroffene Person eine schwerwiegende Gefahr für die öffentliche Sicherheit und Ordnung darstellt (Art. 67 Abs. 3 AuG). Aus humanitären oder anderen wichtigen Gründen kann die Behörde von der Verhängung eines Einreiseverbotes absehen oder ein Einreiseverbot vollständig oder vorübergehend aufheben (Art. 67 Abs. 5).</w:t>
      </w:r>
    </w:p>
    <w:p>
      <w:r>
        <w:rPr>
          <w:b/>
        </w:rPr>
        <w:t>E. 3.2</w:t>
      </w:r>
    </w:p>
    <w:p>
      <w:r>
        <w:t>Das Einreiseverbot ist keine Sanktion für vergangenes Fehlverhalten, sondern eine administrative Massnahme zur Abwendung einer künftigen Störung der öffentlichen Sicherheit und Ordnung (vgl. Botschaft zum Bundesgesetz über die Ausländerinnen und Ausländer vom 8. März 2002 [im Folgenden: Botschaft], BBl 2002 3813). Die Anordnung eines Einreiseverbots ist demzufolge vom Risiko einer künftigen Gefährdung - anknüpfend an das frühere Verhalten der betroffenen Person - abhängig (Urteil des BVGer C-2089/2014 vom 12. August 2015 E. 4.2 m.H.). Bei Drittstaatsangehörigen kommt der Rückfallgefahr sodann nicht dieselbe zentrale Bedeutung zu wie bei freizügigkeitsberechtigten Personen, und es darf auch generalpräventiven Überlegungen Rechnung getragen werden (vgl. BGE 139 II 121 E. 5.3; 136 II 5 E. 4.2).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ein strengerer Beurteilungsmassstab (vgl. 137 II 233 E. 5.2.2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Zunächst ist zu prüfen, ob die Voraussetzungen für die Anordnung eines Einreiseverbots in vorliegendem Fall gegeben sind. Das Bundesverwaltungsgericht kann gemäss Art. 62 Abs. 4 VwVG eine Beschwerde auch aus anderen als den geltend gemachten Gründen gutheissen oder abweisen (vgl. z.B. Urteil des BVGer C-7511/2010 vom 20. November 2012 E. 3.3 m.H.).</w:t>
      </w:r>
    </w:p>
    <w:p>
      <w:r>
        <w:rPr>
          <w:b/>
        </w:rPr>
        <w:t>E. 4.2</w:t>
      </w:r>
    </w:p>
    <w:p>
      <w:r>
        <w:t>Die Vorinstanz begründet das Einreiseverbot unter allgemeinem Verweis auf Art. 67 AuG mit der Verursachung von Sozialhilfekosten und den nicht ordnungsgemäss wahrgenommenen privat- und öffentlich-rechtlichen finanziellen Verpflichtungen des Beschwerdeführers.</w:t>
      </w:r>
    </w:p>
    <w:p>
      <w:r>
        <w:rPr>
          <w:b/>
        </w:rPr>
        <w:t>E. 4.3</w:t>
      </w:r>
    </w:p>
    <w:p>
      <w:r>
        <w:t>Die öffentliche Sicherheit und Ordnung im Sinne von Art. 67 Abs. 2 Bst. a AuG bildet den Oberbegriff für die Gesamtheit der polizeilichen Schutzgüter. Ein Verstoss gegen die öffentliche Sicherheit und Ordnung liegt insbesondere bei einer Missachtung von gesetzlichen Vorschriften und behördlichen Verfügungen sowie bei mutwilliger Nichterfüllung der öffentlich-rechtlichen oder privatrechtlichen Verpflichtungen vor (Art. 80 Abs. 1 Bst. a und b der Verordnung vom 24. Oktober 2007 über Zulassung, Aufenthalt und Erwerbstätigkeit [VZAE, SR 142.201]). Ebenfalls kann sich ein Verstoss gegen die öffentliche Sicherheit und Ordnung aus dem Bestehen massiver privatrechtlicher Schulden ergeben (vgl. Marc Spescha, in: Spescha et al. [Hrsg.], Kommentar Migrationsrecht, 4. Aufl. 2015, Art. 67 AuG, Rz. 3a m.H.). Dabei muss die Verschuldung mutwillig erfolgt sowie selbstverschuldet und qualifiziert vorwerfbar sein (vgl. Art. 80 Abs. 1 lit. b VZAE; vgl. Urteil des BVGer C-3000/2013 vom 23. April 2013 E. 4 m.H.; Urteile des BGer 2C_865/2015 vom 1. Oktober 2015, E. 2.2.2 m.H.; 2C_481/2012 vom 1. März 2013 E. 2.3 in fine m.H.). Eine entsprechende Gefährdung ist gegeben, wenn konkrete Anhaltspunkte dafür bestehen, dass der Aufenthalt der betroffenen Person in der Schweiz mit erheblicher Wahrscheinlichkeit zu einem Verstoss gegen die öffentliche Sicherheit und Ordnung führt (Art. 80 Abs. 2 VZAE).</w:t>
      </w:r>
    </w:p>
    <w:p>
      <w:r>
        <w:rPr>
          <w:b/>
        </w:rPr>
        <w:t>E. 4.4</w:t>
      </w:r>
    </w:p>
    <w:p>
      <w:r>
        <w:t>Trotz Bezug einer vollen IV-Rente, Ergänzungsleistungen sowie Zusatzrenten für die Ehefrau und die Kinder (Akten des Kantons Luzern [nachfolgend: kant. act.] 49/299 ff.: monatliche ordentliche Leistungen der IV mit Wirkung ab 1. November 2002; kant. act. 67/334 ff.: Bezug von Ergänzungsleistungen) nahm die finanzielle Verschuldung des Beschwerdeführers über mehrere Jahre hinweg stetig zu. So waren per 6. März 2007 offene Verlustscheine in Höhe von Fr. 166'107.95 und bereits fünf Jahre später, per 12 März 2012, offene Verlustscheine in Höhe von Fr. 261'093.55 im Betreibungsregisterauszug lautend auf den Beschwerdeführer verzeichnet (vgl. kant. act. 42/261 und 89/369). Die entsprechende Verwarnung des Amtes für Migration des Kantons Luzern vom 19. Januar 2010 (kant. act. 74/348 f.) - unter Verweis auf die bereits erfolgte Verwarnung vom 14. April 2003 (kant. act. 20/29 f.) - und das damit wiederholte dringende Ersuchen an den Beschwerdeführer, seinen finanziellen Verpflichtungen nachzukommen sowie inskünftig zu keinen weiteren Betreibungen, Verlustscheinen oder anderen Klagen Anlass zu geben, wurden von diesem über längere Zeit nicht beachtet. Durch die massive Verschuldung hat er sowohl Drittpersonen als auch das Gemeinwesen finanziell geschädigt sowie seine öffentlich-rechtlichen und privatrechtlichen Verpflichtungen mutwillig nicht erfüllt (vgl. Urteile des BVGer C 4793/2013 vom 23. April 2014 E. 6; C-785/2010 vom 9. Dezember 2010 E. 7.2). Ebenso ist - gestützt auf das bisherige Verhalten - die hinreichende Wahrscheinlichkeit gegeben, dass der Beschwerdeführer im Falle einer Wiedereinreise künftig sowohl fremdenpolizeiliche Verwarnungen missachten als auch erneute Schulden in der Schweiz anhäufen könnte (vgl. Urteil C 785/2010 E. 7.2). Die Voraussetzung zur Verhängung eines Einreiseverbots nach Art. 67 Abs. 2 Bst. a AuG ist somit vorliegend erfüllt.</w:t>
      </w:r>
    </w:p>
    <w:p>
      <w:r>
        <w:rPr>
          <w:b/>
        </w:rPr>
        <w:t>E. 4.5</w:t>
      </w:r>
    </w:p>
    <w:p>
      <w:r>
        <w:t>Verursachte eine Person während ihres Aufenthalts in der Schweiz Sozialhilfekosten, so besteht die Gefahr, dass diese bei einer Wiedereinreise erneut auf sozialhilferechtliche Unterstützung angewiesen sein könnte. Gestützt auf Art. 67 Abs. 2 Bst. b AuG kann daher in genannten Fälle ebenfalls ein Einreiseverbot verfügt werden (vgl. statt vieler das Urteil des BVGer C 3917/2014 vom 21. Oktober 2015 E. 5.2.1 m.H.). Vorliegend hat der Beschwerdeführer im Jahr 1994 sowie von Januar 1996 bis Januar 1997 Sozialhilfe in Höhe von Fr. 34'644.60 bezogen (kant. act. 20/30). Ob die Gefahr erneuter Sozialhilfebezüge besteht, kann insofern offen gelassen werden, als vorliegend bereits die Voraussetzung von Art. 67 Abs. 2 lit. a AuG erfüllt ist.</w:t>
      </w:r>
    </w:p>
    <w:p>
      <w:r>
        <w:rPr>
          <w:b/>
        </w:rPr>
        <w:t>E. 5.1</w:t>
      </w:r>
    </w:p>
    <w:p>
      <w:r>
        <w:t>Nachfolgend bleibt zu prüfen, ob die Vorinstanz im Rahmen ihrer Ermessensausübung zu Recht nicht vom Erlass eines Einreiseverbots abgesehen hat, und, falls diese Frage bejaht wird, ob die angeordnete Dauer angemessen ist. Dabei stehen das Verhältnismässigkeitsprinzip und die daraus resultierende Gegenüberstellung und Gewichtung der vom Beschwerdeführer geltend gemachten privaten Interessen an einer Einreise in die Schweiz und der entgegenstehenden öffentlichen Interessen an der Fernhaltung des Beschwerdeführers im Vordergrund der Prüfung.</w:t>
      </w:r>
    </w:p>
    <w:p>
      <w:r>
        <w:rPr>
          <w:b/>
        </w:rPr>
        <w:t>E. 5.2</w:t>
      </w:r>
    </w:p>
    <w:p>
      <w:r>
        <w:t>Bezüglich des öffentlichen Interesses an einer funktionierenden Rechtsordnung kommt den ausländerrechtlichen Normen in ihrem Gesamtzusammenhang grundsätzlich eine zentrale Bedeutung zu. Namentlich das generalpräventiv motivierte Interesse, diese Ordnung durch eine konsequente Massnahmenpraxis zu schützen, ist als gewichtig einzustufen. Eine spezialpräventive Zielsetzung der Fernhaltemassnahme liegt darin, dass sie die Betroffenen ermahnt, bei einer allfälligen künftigen Wiedereinreise in die Schweiz nach Ablauf der Dauer des Einreiseverbots die für sie geltenden Regeln einzuhalten (vgl. BVGE 2014/20 E. 8.2. m.H.; C 2771/2010 vom 3. Februar 2012 E. 6.1). Das Fehlverhalten des Beschwerdeführers, namentlich das Verursachen von massiven Schulden über einen längeren Zeitraum hinweg trotz zweifacher Verwarnung und Bezug von Renten- sowie Ergänzungsleistungen, wiegt objektiv nicht leicht. Es besteht mithin ein erhebliches öffentliches Interesse an der Fernhaltung des Beschwerdeführers zur Vermeidung weiterer Schulden. Zudem verkennt der Beschwerdeführer mit seinem Vorbringen, wonach er bei künftigen Kurzaufenthalten keine privat- oder öffentlich-rechtlichen Verpflichtungen habe (vgl. Akten des Bundesverwaltungsgerichts [nachfolgend: BVGer act.] 1/S. 6, Ziff. 6), die für sämtliche sich in der Schweiz aufhaltenden Personen bestehenden Pflichten der schweizerischen Rechtsordnung. Im Sinne spezialpräventiver Überlegungen ist der Betroffene durch das Einreiseverbot umso mehr zu ermahnen, bei einer allfälligen künftigen Wiedereinreise in die Schweiz nach Ablauf der Dauer des Einreiseverbots die geltenden Regeln einzuhalten, insbesondere keine weiteren Schulden anzuhäufen sowie Verwarnungen zu beachten (vgl. Urteil des BVGer C 4793/2013 vom 23. April 2014 E. 7.5).</w:t>
      </w:r>
    </w:p>
    <w:p>
      <w:r>
        <w:rPr>
          <w:b/>
        </w:rPr>
        <w:t>E. 5.3</w:t>
      </w:r>
    </w:p>
    <w:p>
      <w:r>
        <w:t>Demgegenüber macht der Beschwerdeführer hinsichtlich seiner privaten Interessen namentlich die Beziehungspflege zu seiner in der Schweiz lebenden Familie (nachfolgend E. 5.3.1) als auch die benötigte medizinischen Versorgung (nachfolgend E. 5.3.2) geltend.</w:t>
      </w:r>
    </w:p>
    <w:p>
      <w:r>
        <w:rPr>
          <w:b/>
        </w:rPr>
        <w:t>E. 5.3.1</w:t>
      </w:r>
    </w:p>
    <w:p>
      <w:r>
        <w:t>In seinem Urteil vom 23. Januar 2015 hielt das Bundesgericht bereits fest, dass der Beschwerdefrüher keinen abgeleiteten Anspruch auf Aufenthalt nach Art. 8 EMRK geltend machen könne und bestätigte damit die Wegweisung (vgl. Urteil des BGer 2C_725/2014 E. 8.2). Die Pflege regelmässiger Kontakte zu seiner in der Schweiz lebenden Familie scheitert folglich bereits am fehlenden Anwesenheitsrecht des Beschwerdeführers (vgl. Urteil des BVGer C-4240/2014 vom 15. Juli 2015 E. 9.4; BVGE 2013/4 E. 7.4.1 m.H.). Einen darüber hinausgehenden, durch Art. 8 Ziff. 1 EMRK und Art. 13 Abs. 1 BV geschützten Rechtsanspruch auf Einreise kann der Beschwerdeführer vorliegend ebenfalls nicht ableiten. Es stehen ihm in seinem Aufenthaltsstaat diverse Kommunikationsmittel - wie etwa Briefverkehr, Videotelefonie, Telefonate - zur Verfügung, um mit seiner Familie in Kontakt zu treten (vgl. statt vieler BVGE 2013/4 E. 7.4.3). Seiner Familie steht es zudem offen, dem nachvollziehbaren Wunsch des Beschwerdeführers nach einem persönlichen Kontakt nachzukommen und ihn im Aufenthaltsland zu besuchen. Die Wirkung des Einreiseverbots besteht ferner nicht darin, dem Beschwerdeführer während der Dauer der Fernhaltemassnahme Besuchsaufenthalte bei ihm nahestehenden Personen in der Schweiz gänzlich zu untersagen. Vielmehr ist es dem Beschwerdeführer zumutbar, aus humanitären oder andern wichtigen Gründen mittels Gesuch die zeitweilige Suspension der angeordneten Fernhaltemassnahme zu beantragen (Art. 67 Abs. 5 AuG; vgl. statt vieler Urteil des BVGer C 4793/2013 E. 8.2 m.H.). Der diesbezügliche Einwand des Beschwerdeführers, wonach es für ihn unzumutbar sei, allfällige Suspensionsgesuche einzureichen, ist nicht nachvollziehbar. Es liegt in seiner Verantwortung und steht ihm frei, für die Beantragung dieses Gesuchs weitere Personen zur Unterstützung beizuziehen. Dass er hierzu ohne Weiteres in der Lage ist, zeigen zudem die am 1. Oktober 2015 bzw. 18. Mai 2016 eingereichten Suspensionsgesuche zuhanden des SEM (kant. act. 143/16 sowie BVGer act. 12).</w:t>
      </w:r>
    </w:p>
    <w:p>
      <w:r>
        <w:rPr>
          <w:b/>
        </w:rPr>
        <w:t>E. 5.3.2</w:t>
      </w:r>
    </w:p>
    <w:p>
      <w:r>
        <w:t>Der Beschwerdeführer leidet unter anderem an Diabetes mellitus mit den Folgeerkrankungen Polyneuropathie und diabetischem Makulödem, arterieller Hypertonie und Steatosis hepatis (vgl. kant. act. 92/373; vgl. auch das Urteil des Kantonsgerichts Luzern vom 16. Juni 2014 E. 6.3 S. 13, BVGer act. 1/Beilage 4). Wiederholt macht er geltend, dass ein Einreiseverbot die für ihn notwendigen medizinischen Kontrollen in der Schweiz verunmöglichen würde (BVGer act. 1 u. 7; vgl. ferner bereits die Ausführungen zum rechtlichen Gehör der Vorinstanz kant. act 139/7). Dem vom Beschwerdeführer eingereichten Attest vom 9. September 2015 (BVGer act. 1/Beilage 5) ist jedoch lediglich zu entnehmen, dass er die vierteljährlichen ärztlichen laborchemischen Kontrollen dringend benötigt, da ihm andernfalls schwerwiegende gesundheitliche Schäden drohen. Damit hat der Beschwerdeführer zwar dargetan, dass er der genannten ärztlichen Konsultationen bedarf, nicht aber, dass ihm diese in seinem Aufenthaltsstaat nicht zur Verfügung stehen würden. Entgegen der Auffassung des Beschwerdeführers sind - wie die Vorinstanz bereits festhielt - seine chronischen Krankheiten im Kosovo, teils sogar unentgeltlich, behandelbar (Quellen: Individualanfrage vom 23. Februar 2015, International Organization for Migration [IOM] / Zentralstelle für Informationsvermittlung zur Rückkehrförderung [ZIRF], abrufbar unter https://milo.bamf.de/ International ZIRF Rückkehrinformationen Länderinformationen ZIRF-Counselling-Dokumente Kosovo 2015 Gjakove - Medizinische Versorgung, Soziale Belange, 23. Februar 2015; Kosana Policy Brief 1, Diagnosis and the Gravity of Diabetes in Kosovo resp. Brief 3, Health Costs and Affordability among Diabetic Datients, abrufbar unter http://solidar-suisse-kos.org/ Kosana &gt; Publications; besucht am 6. Juli 2016). Es ist somit nicht ersichtlich, inwiefern durch das Einreiseverbot eine für den Beschwerdeführer ernstliche gesundheitliche Gefährdung resultieren könnte, die ein Absehen von der Fernhaltemassnahme gestützt auf Art. 67 Abs. 5 AuG rechtfertigt. Sofern sich der Beschwerdeführer dennoch einer zwingenden ärztlichen Untersuchung in der Schweiz unterziehen muss, steht ihm die Möglichkeit offen, das SEM um eine entsprechende Suspendierung des Einreiseverbots für die Zeit dieser ärztlichen Konsultationen zu ersuchen (vgl. Urteil des BVGer C- 2524/2012 vom 8. Dezember 2014 E. 6.3). Die vom Beschwerdeführer dargelegten privaten Interessen vermögen somit auch in diesem Punkt das gewichtige öffentliche Interesse an der Verhängung des Einreiseverbots nicht zu überwiegen.</w:t>
      </w:r>
    </w:p>
    <w:p>
      <w:r>
        <w:rPr>
          <w:b/>
        </w:rPr>
        <w:t>E. 5.4</w:t>
      </w:r>
    </w:p>
    <w:p>
      <w:r>
        <w:t>Ebenfalls nicht zu beanstanden ist die Dauer des Einreiseverbots und die Ausschreibung im SIS II. Die dreijährige Fernhaltemassnahme mit Geltung für die Schweiz und den Schengen-Raum ist angesichts der massiven Verschuldung als verhältnismässig zu erachten.</w:t>
      </w:r>
    </w:p>
    <w:p>
      <w:r>
        <w:rPr>
          <w:b/>
        </w:rPr>
        <w:t>E. 6</w:t>
      </w:r>
    </w:p>
    <w:p>
      <w:r>
        <w:t>Die Abwägung der vorliegend entgegenstehenden öffentlichen und privaten Interessen führt zum Ergebnis, dass das auf drei Jahre befristete Einreiseverbot und sowie die damit einhergehende Ausschreibung im SIS II eine verhältnismässige und angemessene Massnahme zum Schutz der öffentlichen Sicherheit und Ordnung darstellt. Die Massnahme erscheint unter Berücksichtigung aller relevanten Beurteilungselemente als verhältnismässig und angemessen.</w:t>
      </w:r>
    </w:p>
    <w:p>
      <w:r>
        <w:rPr>
          <w:b/>
        </w:rPr>
        <w:t>E. 7</w:t>
      </w:r>
    </w:p>
    <w:p>
      <w:r>
        <w:t>Aufgrund des Dargelegten ist die angefochtene Verfügung im Lichte von Art. 49 VwVG nicht zu beanstanden. Die Beschwerde ist daher abzuweisen.</w:t>
      </w:r>
    </w:p>
    <w:p>
      <w:r>
        <w:rPr>
          <w:b/>
        </w:rPr>
        <w:t>E. 8</w:t>
      </w:r>
    </w:p>
    <w:p>
      <w:r>
        <w:t>Entsprechend dem Ausgang des Verfahrens sind dem unterliegenden Beschwerdeführer die Verfahrenskosten aufzuerlegen (Art. 63 Abs. 1 VwVG, Art. 1 ff. des Reglements über die Kosten und Entschädigungen vor dem Bundesverwaltungsgericht vom 21. Februar 2008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