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F-61/2023 vom 13. Januar 2023</w:t>
      </w:r>
    </w:p>
    <w:p>
      <w:r>
        <w:t>Bundesverwaltungsgericht, 2023-01-13, FR</w:t>
      </w:r>
    </w:p>
    <w:p>
      <w:r>
        <w:rPr>
          <w:b/>
        </w:rPr>
        <w:t xml:space="preserve">Quelle: </w:t>
      </w:r>
      <w:r>
        <w:t>https://mcp.opencaselaw.ch/entscheid/bvger_F-61_2023</w:t>
      </w:r>
    </w:p>
    <w:p>
      <w:r>
        <w:t>FR: TAF F-61/2023 du 13 janvier 2023</w:t>
      </w:r>
    </w:p>
    <w:p>
      <w:r>
        <w:t>IT: TAF F-61/2023 del 13 gennaio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Saisi d'un recours contre une décision de non-entrée en matière sur une demande d'asile, le Tribunal se limite à examiner le bien-fondé d'une telle décision (cf. ATAF 2017 VI/5 consid. 3.1). A moins que la LAsi n'en dispose autrement, la procédure devant le Tribunal est régie par la PA et la LTAF (art. 6 LAsi et art. 37 LTAF). Les recourants ont qualité pour recourir (art. 48 al. 1 PA, applicable par renvoi de l'art. 37 LTAF). En outre, présenté dans la forme (art. 52 al. 1 PA) et le délai (art. 108 al. 3 LAsi) prescrits par la loi, leur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3.2</w:t>
      </w:r>
    </w:p>
    <w:p>
      <w:r>
        <w:t>En vertu de l'art. 3 par. 1 du règlement Dublin III, une demande de protection internationale est examinée par un seul Etat membre, qui est celui que les critères énoncés au chapitre III de ce règlement désignent comme responsable. La procédure de détermination de l'Etat membre responsable est engagée aussitôt qu'une demande de protection internationale a été déposée pour la première fois dans un Etat membre (art. 20 par. 1 du règlement Dublin III). Dans une procédure de reprise en charge (en anglais: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situations prévues à l'art. 7 par. 3 RD III (en lien avec les critères de détermination visés aux art. 8, 10 et 16 RD III) et à l'art. 20 par. 5 RD III (cf. ATAF 2019 VI/7 consid. 6.4.1.3, 2017 VI/5 con-sid. 6.2, 6.3, 8.2.1 et 8.3). Aux termes de l'art. 18 par. 1 let. b du règlement Dublin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ainsi que de mener à son terme cet examen.</w:t>
      </w:r>
    </w:p>
    <w:p>
      <w:r>
        <w:rPr>
          <w:b/>
        </w:rPr>
        <w:t>E. 3.3</w:t>
      </w:r>
    </w:p>
    <w:p>
      <w:r>
        <w:t>Ainsi qu'il ressort des investigations entreprises par le SEM dans la base de données « Eurodac », les recourants, avant de solliciter l'octroi de l'asile en Suisse, avaient déposé une demande d'asile en Autriche le (...) 2022. Le 7 novembre 2022, soit dans le délai de deux mois à prescrit par l'art. 23 par. 2 al. 1 du règlement Dublin III, le SEM a soumis aux autorités autrichiennes deux requêtes tendant chacune à la reprise en charge de l'un des recourants fondée sur l'art. 18 par. 1 let. b du règlement Dublin III. L'Autriche n'a pas répondu à cette requête dans le délai de deux semaines fixé à l'art. 25 par. phr. 2 du règlement Dublin III, ce qui équivaut à l'acceptation de cette dernière, et entraîne l'obligation pour ce pays de reprendre en charge la personne concernée, y compris l'obligation d'assurer une bonne organisation de son arrivée (art. 25 par. 2 du règlement Dublin III). Autrement dit, l'Autriche est bel et bien l'Etat membre responsable, dans le cadre de la présente cause, en vertu des critères de compétence définis par le règlement Dublin III, ce que les recourants ne contestent par ailleurs pas.</w:t>
      </w:r>
    </w:p>
    <w:p>
      <w:r>
        <w:rPr>
          <w:b/>
        </w:rPr>
        <w:t>E. 4</w:t>
      </w:r>
    </w:p>
    <w:p>
      <w:r>
        <w:t>Dans leur mémoire de recours et au cours de leurs entretiens individuels, les intéressés ont, cela dit, indiqué ne pas souhaiter retourner en Autriche dans la mesure où ils ne s'y sentaient pas en sécurité en raison de menaces qui pèseraient sur eux de la part de personnes se sentant déshonorés par le refus de A._______ d'épouser l'homme que sa famille avait choisi pour elle. Ils ont également soulevé dans le cadre de leur recours que le SEM n'aurait pas suffisamment pris en compte leurs états de santé.</w:t>
      </w:r>
    </w:p>
    <w:p>
      <w:r>
        <w:rPr>
          <w:b/>
        </w:rPr>
        <w:t>E. 4.1</w:t>
      </w:r>
    </w:p>
    <w:p>
      <w:r>
        <w:t>Dans ces circonstances, il convient en premier lieu d'examiner, en vertu de l'art. 3 par. 2 al. 2 du règlement Dublin III, s'il y a de sérieuses raisons de croire qu'il existe en Autriche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Dans de tels cas, l'Etat procédant à la détermination de l'Etat responsable poursuit l'examen des critères fixés au chapitre III afin d'établir si un autre Etat peut être désigné comme responsable (sur la notion de défaillances systémiques voir arrêts de référence du TAF E-962/2019 du 17 décembre 2019 consid. 2.4 et F-7195/2018 du 11 février 2020 consid. 6.3 et 6.4).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Or, il n'y a aucune sérieuse raison de croire qu'il existe, en Autriche, des défaillances systémiques dans la procédure d'asile et les conditions d'accueil des demandeurs d'asile, qui entraînent un risque de traitement inhumain ou dégradant au sens de l'art. 4 de la CharteUE et qui commanderaient d'emblée l'application de l'art. 3 par. 2 al. 2 du règlement Dublin III. En effet,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Autriche de violation systématique des normes communautaires en la matière, la présomption de respect par cet Etat de ses obligations concernant les droits des requérants d'asile sur son territoire n'est pas renversée (ATAF 2011/35 consid. 4.11 et 2010/45 consid. 7.4 et 7.5 ; arrêts du TAF F-4791/2022 du 26 octobre 2022 consid.7, F-1595/2022 du 13 avril 2022 consid. 4.2, E-522/2022 du 15 février 2022 consid. 8, F-4591/2021 du 25 octobre 2021 consid. 4.2 et F-2811/2021 du 21 juin 2021). Il n'y a donc pas lieu d'admettre que cet Etat connaisse des défaillances systémiques au sens de l'art. 3 par. 2 al. 2 du règlement Dublin III, si bien que l'application de cette disposition ne se justifie pas en l'espèce (ATAF 2017 VI/5 consid. 8.4 ; arrêt du TAF F-1595/2022 du 13 avril 2022 consid. 4.2).</w:t>
      </w:r>
    </w:p>
    <w:p>
      <w:r>
        <w:rPr>
          <w:b/>
        </w:rPr>
        <w:t>E. 4.2</w:t>
      </w:r>
    </w:p>
    <w:p>
      <w:r>
        <w:t>La présomption de sécurité susmentionnée peut toutefois être renversée en présence, dans l'Etat membre désigné responsable, non seulement de défaillances systémiques dans la procédure d'asile et les conditions d'accueil des requérants d'asile (cf. consid. 4.1 supra), mais également d'indices sérieux laissant à penser que, dans le cas concret, les autorités de cet Etat ne respecteraient pas leurs engagements découlant du droit international public (ATAF 2011/9 consid. 6 et 2010/45 consid. 7.4 et 7.5). En l'espèce, du point de vue de la sécurité des requérants d'asile en Autriche, force est de constater, que les allégations des recourants suivant lesquelles les autorités autrichiennes responsables du leur procédure d'asile n'auraient pas agi face à la déclaration d'une menace qui pèseraient sur eux est infirmée par la réponse immédiate que dites autorités ont apportée à l'information à ce sujet qui leur avaient transmise par le SEM en date du 21 décembre 2022. Quoi qu'il en soit, les intéressés n'ont apporté aucune substance matérielle à ces allégations, ni n'ont fourni d'indices objectifs, concrets et sérieux qu'ils seraient privés durablement de tout accès aux conditions matérielles d'accueil prévues par la directive Accueil et qu'ils ne pourraient pas bénéficier de l'aide nécessaire pour faire valoir leurs droits, étant rappelé que l'Autriche est un Etat de droit. Dans ces conditions, le Tribunal relève qu'il n'existe aucun indice indiquant que les autorités autrichiennes violeraient le droit des intéressés à l'examen, selon une procédure juste et équitable, de leur demande de protection internationale. Cela étant, si les intéressés devaient, à l'issue de leur transfert en Autriche, être contraint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ses droits directement auprès des autorités de ce pays en usant des voies de droit adéquates (arrêt du TAF F-7130/2017 du 28 mai 2018 consid. 5).</w:t>
      </w:r>
    </w:p>
    <w:p>
      <w:r>
        <w:rPr>
          <w:b/>
        </w:rPr>
        <w:t>E. 4.3</w:t>
      </w:r>
    </w:p>
    <w:p>
      <w:r>
        <w:t>Il sied enfin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4.4</w:t>
      </w:r>
    </w:p>
    <w:p>
      <w:r>
        <w:t>Partant, l'application de l'art. 3 par. 2 al. 2 du règlement Dublin III ne se justifie pas en l'espèce.</w:t>
      </w:r>
    </w:p>
    <w:p>
      <w:r>
        <w:rPr>
          <w:b/>
        </w:rPr>
        <w:t>E. 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5.1</w:t>
      </w:r>
    </w:p>
    <w:p>
      <w:r>
        <w:t>Le retour forcé d'une personne touchée dans sa santé n'est, selon la jurisprudence de la Cour européenne des droits de l'homme (cf. arrêt Paposhvili c. Belgique du 13 décembre 2016, Grande Chambre,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affaire Paposhvili c. Belgique ; ATAF 2017 VI/7 consid. 6.2 et réf. cit.). Sans vouloir minimiser les affections dont souffrent les recourants, le Tribunal estime que celles-ci ne sont pas graves au point de constituer un obstacle à un transfert vers l'Autriche, ce pays étant en mesure d'offrir des soins médicaux adaptés et de garantir l'accès au traitement nécessaire. A ce sujet, le simple fait que d'ultérieurs rendez-vous d'évaluation aient été fixés en Suisse ne saurait empêcher le prononcé (respectivement la confirmation par le Tribunal) d'une décision de non-entrée en matière Dublin (cf. arrêt du TAF D-4235/2021 du 19 avril 2022 consid. 6.3.1, 6.3.2 et 10.5) De plus, rien n'indique que les intéressés ne sont pas en mesure de voyager, ni que leurs troubles nécessitent impérativement un traitement sur le long cours en Suisse. La situation des recourants n'est partant pas marquée par des considérations humanitaires impérieuses au sens de la jurisprudence de la Cour européenne des droits de l'homme précitée (cf. affaire Paposhvili c. Belgique, §183). En outre, aucun élément concret ne permet de considérer que l'Autriche refuserait aux intéressés l'accès aux soins en cas d'urgence ou de problèmes graves, les soins médicaux essentiels étant garantis dans ce pays, même pour les personnes en situation irrégulière (art. 14 par. 1 let. b de la directive Procédure). Dans le cas où les recourants devaient avoir besoin de soins particuliers au moment de leur transfert vers l'Autriche, il leur appartiendra d'en informer les autorités suisses chargées de l'exécution de cette mesure. Le cas échéant, il incombera à celles-ci de transmettre, sous une forme appropriée, aux autorités autrichiennes les renseignements permettant une éventuelle prise en charge médicale spécifique (art. 31 et 32 du règlement Dublin III). A cet égard, le Tribunal constate que dans une note versée à son dossier et intitulée « Modalités du transfert », le SEM a d'ores et déjà relevé que la situation des recourants constituait un cas médical et qu'il était nécessaire de communiquer un rapport médical à l'autorité autrichienne compétente avant l'exécution du transfert.</w:t>
      </w:r>
    </w:p>
    <w:p>
      <w:r>
        <w:rPr>
          <w:b/>
        </w:rPr>
        <w:t>E. 5.2</w:t>
      </w:r>
    </w:p>
    <w:p>
      <w:r>
        <w:t>En ce qui concerne les craintes des recourants pour leur sécurité en cas de retour en Autriche, force est de rappeler, en premier lieu, qu'informées de la situation, les autorités autrichiennes ont immédiatement donné la suite qui convenait, à savoir requérir l'identité des individus menaçants afin qu'elles puissent être transmises aux forces de l'ordre. Le fait que le SEM a indiqué ne pas être en mesure de produire les renseignements demandés ne sauraient ouvrir le comportement de l'Autriche à la critique. En effet, cela reste le seul fait de l'autorité inférieure. Au demeurant, le Tribunal peine à saisir les raisons qui ont empêché le SEM d'obtenir les informations nécessaires, en interrogeant en particulier les requérants encore plus en détail sur l'identité de leur potentiels agresseurs. De plus, certaines informations concernant des membres de la famille de la recourante qui représenteraient une menace ont été fournies au SEM lors des deux auditions que cette autorité a menées avec l'intéressée. Il conviendra de communiquer ces dernières informations, au moins, aux autorités autrichiennes avant l'exécution du transfert. Cela étant, le Tribunal relève d'une part que rien n'indique que les autorités autrichiennes ne soient pas capable d'offrir aux intéressés une protection policière similaire à celle qu'ils pourraient connaître en Suisse. En effet, l'Autriche, en tant qu'Etat de droit, est doté d'autorités policière et judiciaires opérationnelles, et capable d'offrir aux recourants une protection adéquate contre d'éventuelles menaces ou agressions de tiers. D'autre part, il convient de préciser que l'Autriche est partie à la Convention du 11 mai 2011 sur la prévention et la lutte contre la violence à l'égard des femmes et la violence domestique (Convention d'Istanbul, RS 0.311.35). De même, force est de constater qu'en la matière, ce pays dispose de programmes et d'institutions au moins aussi développés que ceux connus en Suisse (cf. Gewalt gegen Frauen - Hilfangeboten - Österreichwerter Überblick, Bundeskanzleramt, 2022, disponible en ligne : https://www.bundeskanzleramt.gv.at/dam/jcr:0f2d6457-af41-4893-9111-fef186956f47/gewalt_gegen_frauen_aut.pdf [consulté le 9 janvier 2023] ; voir aussi les informations disponible sur le site dédié à la lutte contre les violences faites aux femmes : https://www.bundeskanzleramt.gv.at/ frauenserviceportal/gewalt-gegen-frauen.html [consulté le 9 janvier 2023]). De plus, si les recourants ne devaient pas être satisfaits par le protection que leur offriraient les forces de l'ordre autrichiennes, il existe dans ce pays des voies de droit pour se plaindre d'une telle inaction et il appartiendrait, le cas échéant, aux intéressés de saisir les autorités administratives et judiciaires compétentes.</w:t>
      </w:r>
    </w:p>
    <w:p>
      <w:r>
        <w:rPr>
          <w:b/>
        </w:rPr>
        <w:t>E. 5.3</w:t>
      </w:r>
    </w:p>
    <w:p>
      <w:r>
        <w:t>Au vu de ce qui précède, le transfert des recourants vers l'Autriche n'est pas contraire aux obligations de la Suisse découlant de ses obligations internationales. Le SEM n'est donc pas tenu de renoncer au transfert et d'examiner lui-même la demande d'asile.</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au stade du recours, la motivation du SEM, comprenant une pesée des intérêts, tenant compte en particulier de leur état de santé et de leurs craintes concernant la présence d'individus menaçants en Autriche, est fondée en fait et en droit, y compris au regard du principe de la proportionnalité.</w:t>
      </w:r>
    </w:p>
    <w:p>
      <w:r>
        <w:rPr>
          <w:b/>
        </w:rPr>
        <w:t>E. 7</w:t>
      </w:r>
    </w:p>
    <w:p>
      <w:r>
        <w:t>Au regard de l'ensemble des éléments qui précèdent, c'est à bon droit que le SEM n'est pas entré en matière sur les demandes d'asile des intéressés, en application de l'art. 31a al. 1 let. b LAsi, et qu'il a prononcé leur transfert vers l'Autriche conformément à l'art. 44 phr. 1 LAsi, étant précisé qu'aucune exception à la règle générale du renvoi n'est réalisée (cf. art. 32 OA 1). Le recours est, par conséquent, rejeté. S'avérant manifestement infondé, il est rejeté dans une procédure à juge unique avec l'approbation d'une seconde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Pour le même motif, les mesures superprovisionnelles prononcées 5 janvier 2023 sont caduques.</w:t>
      </w:r>
    </w:p>
    <w:p>
      <w:r>
        <w:rPr>
          <w:b/>
        </w:rPr>
        <w:t>E. 8</w:t>
      </w:r>
    </w:p>
    <w:p>
      <w:r>
        <w:t>Les conclusions du recours étant d'emblée vouées à l'échec, la requête d'assistance judiciaire est rejetée. Vu l'issue de la cause, il y a lieu de mettre les frais de procédure à la charge des recourants, débiteurs solidaires,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