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F-6174/2020 vom 21. Juni 2021</w:t>
      </w:r>
    </w:p>
    <w:p>
      <w:r>
        <w:t>Bundesverwaltungsgericht, 2021-06-21, DE</w:t>
      </w:r>
    </w:p>
    <w:p>
      <w:r>
        <w:rPr>
          <w:b/>
        </w:rPr>
        <w:t xml:space="preserve">Quelle: </w:t>
      </w:r>
      <w:r>
        <w:t>https://mcp.opencaselaw.ch/entscheid/bvger_F-6174_2020</w:t>
      </w:r>
    </w:p>
    <w:p>
      <w:r>
        <w:t>FR: TAF F-6174/2020 du 21 juin 2021</w:t>
      </w:r>
    </w:p>
    <w:p>
      <w:r>
        <w:t>IT: TAF F-6174/2020 del 21 giugno 2021</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im Übrigen frist- und formgerecht eingereichte Beschwerde ist einzutreten (Art. 50 und Art. 52 VwVG).</w:t>
      </w:r>
    </w:p>
    <w:p>
      <w:r>
        <w:rPr>
          <w:b/>
        </w:rPr>
        <w:t>E. 1.4</w:t>
      </w:r>
    </w:p>
    <w:p>
      <w:r>
        <w:t>Das Bundesverwaltungsgericht entscheidet in der vorliegenden Sache endgültig (Art. 83 Bst. c Ziff. 1 BGG).</w:t>
      </w:r>
    </w:p>
    <w:p>
      <w:r>
        <w:rPr>
          <w:b/>
        </w:rPr>
        <w:t>E. 2</w:t>
      </w:r>
    </w:p>
    <w:p>
      <w:r>
        <w:t>Vorweg ist festzuhalten, dass die vorliegende Streitsache nicht in den sachlichen Anwendungsbereich des Art. 6 Ziff. 1 EMRK fällt und daher kein Anspruch auf die Durchführung einer Parteiverhandlung gegeben ist (Art. 40 Abs. 1 VGG). Ein sachlicher Grund, gestützt auf Art. 40 Abs. 2 VGG dennoch eine Parteiverhandlung durchzuführen, ist nicht ersichtlich (vgl. Urteil des BVGer A-7010/2015 vom 19. Mai 2016 E. 2.2 m.H.). Das entsprechende Gesuch des Beschwerdeführers ist daher abzuweisen.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4</w:t>
      </w:r>
    </w:p>
    <w:p>
      <w:r>
        <w:t>Gemäss Art. 67 Abs. 2 Bst. a in Verbindung mit Art. 67 Abs. 3 AIG kann die Vorinstanz für die Dauer von höchstens fünf Jahren gegen ausländische Personen ein Einreiseverbot verfügen, wenn sie gegen die öffentliche Sicherheit und Ordnung in der Schweiz oder im Ausland verstossen haben oder diese gefährden. Ein Verstoss gegen die öffentliche Sicherheit und Ordnung liegt vor, wenn gesetzliche Vorschriften oder behördliche Verfügungen missachtet werden (Art. 77a Abs. 1 Bst. a der Verordnung vom 24. Oktober 2007 über Zulassung, Aufenthalt und Erwerbstätigkeit [VZAE; SR 142.201]). Widerhandlungen gegen Normen des Ausländerrechts, aber auch ganz allgemein gegen Normen des Strafrechts fallen ohne weiteres unter diese Begriffsbestimmung und können ein Einreiseverbot nach sich ziehen.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Urteil des BVGer F-1156/2018 vom 13. Dezember 2019 E. 4.2 m.H.).</w:t>
      </w:r>
    </w:p>
    <w:p>
      <w:r>
        <w:rPr>
          <w:b/>
        </w:rPr>
        <w:t>E. 5.1</w:t>
      </w:r>
    </w:p>
    <w:p>
      <w:r>
        <w:t>Die Vorinstanz begründete das Einreiseverbot in der angefochtenen Verfügung vom 3. Dezember 2020 vor allem damit, dass der Beschwerdeführer illegal in die Schweiz eingereist sei und sich widerrechtlich hier aufgehalten habe. Damit liege ein Verstoss gegen die Einreisevoraussetzungen des Ausländerrechts vor, welcher mit einer ernsthaften Gefährdung der öffentlichen Sicherheit und Ordnung im Sinne von Art. 67 Abs. 2 Bst. a AIG einhergehe. Während der Beschwerdeführer die Erfüllung entsprechender Straftatbestände anlässlich der polizeilichen Befragung vom 2. Dezember 2020 noch von sich wies, bestreitet er diese auf Beschwerdeebene zu Recht nicht mehr.</w:t>
      </w:r>
    </w:p>
    <w:p>
      <w:r>
        <w:rPr>
          <w:b/>
        </w:rPr>
        <w:t>E. 5.2</w:t>
      </w:r>
    </w:p>
    <w:p>
      <w:r>
        <w:t>Die Staatsanwaltschaft X._______ sah in ihrem Strafbefehl vom 3. Dezember 2020 als erstellt an, dass der Beschwerdeführer am 13. August 2020 - ohne im Besitze eines biometrischen Reisepasses oder eines Visums zu sein - in die Schweiz eingereist war. Aus dieser illegalen Einreise ergibt sich schon die Rechtswidrigkeit des anschliessenden Aufenthalts. Darüber hinaus stellte die Strafinstanz fest, dass der Beschwerdeführer sich über die bewilligungsfrei maximal zulässige Dauer in der Schweiz aufgehalten hatte. Dieser Strafbefehl blieb - soweit aus den vorliegenden Akten erkennbar - unangefochten und erwuchs in Rechtskraft (ZH-act. 6).</w:t>
      </w:r>
    </w:p>
    <w:p>
      <w:r>
        <w:rPr>
          <w:b/>
        </w:rPr>
        <w:t>E. 5.3</w:t>
      </w:r>
    </w:p>
    <w:p>
      <w:r>
        <w:t>Der Beschwerdeführer hat grundlegende ausländerrechtliche Bestimmungen verletzt und damit gegen die öffentliche Sicherheit und Ordnung verstossen (vgl. Art. 77a Abs. 1 Bst. a VZAE). Der Fernhaltegrund von Art. 67 Abs. 2 Bst. a AIG ist damit gegeben.</w:t>
      </w:r>
    </w:p>
    <w:p>
      <w:r>
        <w:rPr>
          <w:b/>
        </w:rPr>
        <w:t>E. 6</w:t>
      </w:r>
    </w:p>
    <w:p>
      <w:r>
        <w:t>Zu prüfen bleibt,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des Beschwerdeführers und das von ihm ausgehende, zukünftige Gefährdungspotenzial (Art. 5 Abs. 2 BV, Art. 96 AIG; BGE 139 II 121 6.5.1; BVGE 2017 VII/2 E. 4.5; 2016/33 E. 9; 2014/20 E. 8.1).</w:t>
      </w:r>
    </w:p>
    <w:p>
      <w:r>
        <w:rPr>
          <w:b/>
        </w:rPr>
        <w:t>E. 6.1</w:t>
      </w:r>
    </w:p>
    <w:p>
      <w:r>
        <w:t>Mit seiner illegalen Einreise und dem anschliessenden illegalen Aufenthalt hat der Beschwerdeführer - wie erwähnt - gegen zentrale Bestimmungen der ausländerrechtlichen Ordnung verstossen. Angesichts dessen, aber auch vor dem Hintergrund seiner zahlreichen Zuwiderhandlungen gegen die Rechtsordnung anlässlich seines früheren Aufenthalts in der Schweiz ist von einem erheblichen öffentlichen Interesse an einer befristeten Fernhaltung auszugehen. Darüber hinaus ist auch ein gewichtiges generalpräventiv motiviertes Interesse anzunehmen daran, die ausländerrechtliche Ordnung durch eine konsequente Massnahmenpraxis vor solchen Zuwiderhandlungen zu schützen (vgl. Urteile des BGer 2C_516/2014 vom 24. März 2015 E. 4.3.2 oder 2C_282/2012 vom 31. Juli 2012 E. 2.5 je m.H.).</w:t>
      </w:r>
    </w:p>
    <w:p>
      <w:r>
        <w:rPr>
          <w:b/>
        </w:rPr>
        <w:t>E. 6.2</w:t>
      </w:r>
    </w:p>
    <w:p>
      <w:r>
        <w:t>Dem öffentlichen Fernhalteinteresse gegenüber beruft sich der Beschwerdeführer auf sein privates Interesse an persönlichen Kontakten zu seiner in der Schweiz lebenden Familie, insbesondere den drei minderjährigen Kindern. Zudem habe er selbst über 18 Jahre in der Schweiz gelebt und habe hier seine Heimat. Im Ausland erhalte er keine familiäre Unterstützung, sei mittellos und werde dort mit Sicherheit auf der Strasse landen.</w:t>
      </w:r>
    </w:p>
    <w:p>
      <w:r>
        <w:rPr>
          <w:b/>
        </w:rPr>
        <w:t>E. 6.2.1</w:t>
      </w:r>
    </w:p>
    <w:p>
      <w:r>
        <w:t>Zwar ist der Beschwerdeführer schon als (...)-Jähriger in die Schweiz gekommen. Zudem leben hier sowohl seine Eltern, seine Schwester und insbesondere seine drei minderjährigen Kinder sowie deren Mutter, mit welcher er gemäss eigenen Angaben weiterhin eine Beziehung führe. Es ist daher zweifellos davon auszugehen, dass sich das Zentrum seiner Lebensinteressen im Zeitpunkt seiner Wegweisung in der Schweiz befand. Die geltend gemachte Relevanz dieser Umstände ist allerdings aus nachfolgend erläuterten Gründen erheblich zu relativieren.</w:t>
      </w:r>
    </w:p>
    <w:p>
      <w:r>
        <w:rPr>
          <w:b/>
        </w:rPr>
        <w:t>E. 6.2.2</w:t>
      </w:r>
    </w:p>
    <w:p>
      <w:r>
        <w:t>Vorab ist darauf hinzuweisen, dass allfällige Einschränkungen des Privat- und Familienlebens in erster Linie durch den Entzug der Niederlassungsbewilligung des Beschwerdeführers begründet sind. Es stellt sich einzig die Frage, ob die durch das Einreiseverbot zusätzlich bewirkte Erschwernis vor Art. 8 Ziff. 1 EMRK standhält. Wie bereits das Verwaltungsgericht des Kantons Aargau im Urteil vom 4. September 2019 festhielt, kann nicht von einer engen Beziehung zwischen dem Beschwerdeführer und seinen fremdplatzierten Kindern ausgegangen werden. Dem Vater kommt soweit ersichtlich neben der Möglichkeit telefonischer Kontakte lediglich ein begleitetes Besuchsrecht zu. Während er dieses zumindest in Bezug auf die älteste Tochter bis zu seiner Wegweisung aus der Schweiz teilweise wahrgenommen hatte, scheinen die beiden jüngeren Kinder überhaupt keine Bindung zum Beschwerdeführer zu haben. Selbst in wirtschaftlicher Hinsicht ist keine besonders enge Beziehung zu den Kindern erkennbar, zumal sich in den Akten keine Hinweise darauf finden, dass die Kinder durch ihn finanziell unterstützt würden. Die partnerschaftliche Beziehung zwischen dem Beschwerdeführer und der Kindsmutter war sodann in der Vergangenheit von Situationen gegenseitiger Gewalt geprägt und muss als wechselhaft und - auch aufgrund wiederholter Aussagen der Partnerin über Trennungsabsichten - instabil bezeichnet werden (vgl. zum Ganzen AG-act. S. 510 ff, 807 f., 854 ff.).</w:t>
      </w:r>
    </w:p>
    <w:p>
      <w:r>
        <w:rPr>
          <w:b/>
        </w:rPr>
        <w:t>E. 6.2.3</w:t>
      </w:r>
    </w:p>
    <w:p>
      <w:r>
        <w:t>Da die Beziehung zur Familie allein schon durch das fehlende Aufenthaltsrecht des Beschwerdeführers stark eingeschränkt ist, erfährt sie durch das Einreiseverbot kaum zusätzliche Beeinträchtigung. Der Beschwerdeführer muss - falls er überhaupt von der Visumspflicht befreit ist - bei der Vorinstanz für eine Einreise in die Schweiz einzig eine zeitlich befristete Suspension erwirken (Art. 67 Abs. 5 AIG). Weiterhin möglich ist ferner die Pflege der Kontakte auf andere Weise als durch persönliche Treffen in der Schweiz, namentlich mittels moderner Kommunikationsmittel. In diesem - wenn auch stark eingeschränkten - Rahmen hat der Beschwerdeführer grundsätzlich weiterhin die Möglichkeit, Beziehungen zu Personen in der Schweiz auf schweizerischem Hoheitsgebiet zu pflegen. Kontakte ausserhalb des Schengenraums beziehungsweise auf andere Weise als durch persönliche Treffen werden durch die Massnahme nicht beeinträchtigt (vgl. zum Ganzen BVGE 2014/20 E. 8.3.4 m.H.). Das Einreiseverbot stellt somit keinen nennenswerten, über die Verweigerung eines dauerhaften Anwesenheitsrechts hinausgehenden Eingriff in Art. 8 EMRK dar und erscheint dem Grundsatz nach als gerechtfertigt.</w:t>
      </w:r>
    </w:p>
    <w:p>
      <w:r>
        <w:rPr>
          <w:b/>
        </w:rPr>
        <w:t>E. 6.2.4</w:t>
      </w:r>
    </w:p>
    <w:p>
      <w:r>
        <w:t>Die Dauer des vorinstanzlichen Einreiseverbots liegt im Rahmen zahlreicher - durch das Bundesverwaltungsgericht geschützter - Vergleichsfälle und ist ebenfalls nicht zu beanstanden (vgl. bspw. Urteile des BVGer F-912/2019 vom 10. Mai 2021; F-2447/2020 vom 25. September 2020).</w:t>
      </w:r>
    </w:p>
    <w:p>
      <w:r>
        <w:rPr>
          <w:b/>
        </w:rPr>
        <w:t>E. 6.3</w:t>
      </w:r>
    </w:p>
    <w:p>
      <w:r>
        <w:t>Eine wertende Gewichtung der sich gegenüberstehenden Interessen führt das Bundesverwaltungsgericht demnach zum Ergebnis, dass das auf zwei Jahre bemessene Einreiseverbot dem Grundsatz nach und in Bezug auf seine Dauer eine verhältnismässige und angemessene Massnahme zum Schutz der öffentlichen Sicherheit und Ordnung darstellt.</w:t>
      </w:r>
    </w:p>
    <w:p>
      <w:r>
        <w:rPr>
          <w:b/>
        </w:rPr>
        <w:t>E. 7</w:t>
      </w:r>
    </w:p>
    <w:p>
      <w:r>
        <w:t>In Anbetracht der vorangegangenen Ausführungen ist ein überwiegendes öffentliches Interesse nicht nur der Schweiz, sondern sämtlicher Schengen-Staaten an der Fernhaltung des Beschwerdeführers gegeben. Die Ausschreibung des Beschwerdeführers im Schengener Informationssystem (SIS) ist gestützt auf Art. 21 und 24 der Verordnung (EG) Nr. 1987/2006 vom 20. Dezember 2006 über die Einrichtung, den Betrieb und die Nutzung des Schengener Informationssystems der zweiten Generation (SIS-II, Abl. L 381/4 vom 28.12.2006) und Art. 21 der N-SIS-Verordnung vom 8. März 2013 (SR 362.0) zu bestätigen.</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die Verfahrenskosten dem Beschwerdeführer aufzuerlegen (Art. 63 Abs. 1 VwVG). Sie sind in Anwendung von Art. 1 ff. des Reglements vom 21. Februar 2008 über die Kosten und Entschädigungen vor dem Bundesverwaltungsgericht (VGKE, SR 173.320.2) auf Fr. 1'000.-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