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F-6173/2024 vom 4. September 2024</w:t>
      </w:r>
    </w:p>
    <w:p>
      <w:r>
        <w:t>Bundesverwaltungsgericht, 2024-09-04, DE</w:t>
      </w:r>
    </w:p>
    <w:p>
      <w:r>
        <w:rPr>
          <w:b/>
        </w:rPr>
        <w:t xml:space="preserve">Quelle: </w:t>
      </w:r>
      <w:r>
        <w:t>https://mcp.opencaselaw.ch/entscheid/bvger_F-6173_2024_d20240904</w:t>
      </w:r>
    </w:p>
    <w:p>
      <w:r>
        <w:t>FR: TAF F-6173/2024 du 4 septembre 2024</w:t>
      </w:r>
    </w:p>
    <w:p>
      <w:r>
        <w:t>IT: TAF F-6173/2024 del 4 settembre 2024</w:t>
      </w:r>
    </w:p>
    <w:p>
      <w:pPr>
        <w:pStyle w:val="Heading2"/>
      </w:pPr>
      <w:r>
        <w:t>Regeste</w:t>
      </w:r>
    </w:p>
    <w:p>
      <w:r>
        <w:t>Schengen-Visum | Schengen-Visum; Verfügung des SEM vom 4. September 2024</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1.4</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2.1</w:t>
      </w:r>
    </w:p>
    <w:p>
      <w:r>
        <w:t>Der Beschwerdeführer rügt eine unrichtige beziehungsweise unvoll- ständige Feststellung des rechtserheblichen Sachverhalts. Die Vorinstanz habe die persönliche Situation der Gesuchstellerin nicht umfassend über- prüft und deren bestehenden Verpflichtungen gegenüber ihrer Familie nicht genügend Rechnung getragen. Diese formellen Rügen sind vorab zu be- urteilen, da sie allenfalls geeignet sein könnten, eine Kassation der vor- instanzlichen Verfügung zu bewirken (BGE 142 II 218 E. 2.8.1).</w:t>
      </w:r>
    </w:p>
    <w:p>
      <w:r>
        <w:rPr>
          <w:b/>
        </w:rPr>
        <w:t>E. 2.2</w:t>
      </w:r>
    </w:p>
    <w:p>
      <w:r>
        <w:t>Im Verwaltungsverfahren gilt der Untersuchungsgrundsatz (Art. 12 ff. VwVG). Die Behörden sorgen – unter Vorbehalt der Mitwirkungspflichten</w:t>
      </w:r>
    </w:p>
    <w:p>
      <w:r>
        <w:t>F-6173/2024 Seite 4 (Art. 13 Abs. 1 VwVG) der Parteien – für die richtige und vollständige Ab- klärung des rechtserheblichen Sachverhalts (BGE 140 I 285 E. 6.3.1 m.w.H.; vgl. Urteil des BVGer F-5393/2023 vom 16. Januar 2024 E. 3 zur Mitwirkungspflicht im Ausländerrecht gemäss Art. 90 AIG). Die Sachver- haltsfeststellung ist mit Blick auf Art. 49 Bst. b VwVG unrichtig, wenn der Verfügung ein falscher oder aktenwidriger Sachverhalt zugrunde gelegt wird, sei es, weil die Rechtserheblichkeit einer Tatsache zu Unrecht ver- neint wird oder Beweise falsch gewürdigt worden sind (BVGE 2014/2 E. 5.1; 2008/43 E. 7.5.6; ferner Urteil des BGer 2C_802/2020 vom 12. März 2021 E. 1.2.1; Urteil des BVGer F-896/2021 vom 2. August 2023 E. 3.3.2; je m.H.).</w:t>
      </w:r>
    </w:p>
    <w:p>
      <w:r>
        <w:rPr>
          <w:b/>
        </w:rPr>
        <w:t>E. 2.3</w:t>
      </w:r>
    </w:p>
    <w:p>
      <w:r>
        <w:t>Die Gesuchstellerin beziehungsweise der Beschwerdeführer hatten so- wohl im Visumsantrag als auch im Einspracheverfahren gewisse familiäre beziehungsweise geschäftliche Verpflichtungen im Heimatland geltend ge- macht. Sie führten aus, die Gesuchstellerin habe zwei kleine Kinder, von denen das jüngste im Februar 2022 geboren sei, für die sie sorge. Darüber hinaus besitze die Gesuchstellerin ein Bekleidungsgeschäft, das sie alleine betreibe und mit dem sie ein regelmässiges monatliches Einkommen von rund 50'000.– KES erziele (SEM–Akten, pag. 182, 183).</w:t>
      </w:r>
    </w:p>
    <w:p>
      <w:r>
        <w:rPr>
          <w:b/>
        </w:rPr>
        <w:t>E. 2.4</w:t>
      </w:r>
    </w:p>
    <w:p>
      <w:r>
        <w:t>Aus diesen Ausführungen lassen sich jedoch keine konkreten Rück- schlüsse auf den genauen Umfang und die Intensität der genannten Ver- pflichtungen ziehen. Die Aussagen zur finanziellen Situation der Beschwer- deführerin widersprechen den Angaben in ihrer Steuererklärung gegen- über den kenianischen Steuerbehörden, wonach sie über kein steuerbares Einkommen verfüge (vgl. SEM–Akten, pag. 181). Im Rahmen der Inland- abklärungen gab der Beschwerdeführer an, die Gesuchstellerin habe in Kenia ihre Eltern und ihren Bruder (SEM–Akten, pag. 220), zu denen sie gute Kontakte pflege (act. 1, p. 6), weshalb sich vermuten lässt, dass ihre Kinder von diesen Verwandten betreut werden können. Ausserdem kann keine existenzielle Abhängigkeit abgeleitet werden, wenn die Gesuchstel- lerin eine Visumdauer von drei Monaten beantragt. Angesichts dessen ist nicht ersichtlich, inwiefern die Tatsachenfeststellungen der Vorinstanz falsch beziehungsweise unvollständig gewesen sein sollten. Der Untersu- chungsgrundsatz gilt nicht absolut und findet seine Grenze in der Pflicht der Partei, an der Feststellung des rechtserheblichen Sachverhalts mitzu- wirken (Art. 13 Abs. 1 VwVG; BGE 138 II 465 E. 8.6.4; ferner Urteile des BVGer F-599/2023 vom 31. Januar 2024 E. 4.1; F-3588/2021 vom 16. Ja- nuar 2023 E. 3.3; je m.w.H.). Damit liegt der Verfügung keine den Untersu- chungsgrundsatz missachtende, unrichtige oder gar willkürliche</w:t>
      </w:r>
    </w:p>
    <w:p>
      <w:r>
        <w:t>F-6173/2024 Seite 5 Feststellung des rechtserheblichen Sachverhalts zugrunde. Darüber hin- aus handelt es sich bei den vorgebrachten Rügen um Tatsachen, die für die sachliche Behandlung der Beschwerde von Bedeutung sind, weshalb in den nachfolgenden Erwägungen näher darauf eingegangen wird (siehe E. 4.5 f.).</w:t>
      </w:r>
    </w:p>
    <w:p>
      <w:r>
        <w:rPr>
          <w:b/>
        </w:rPr>
        <w:t>E. 2.5</w:t>
      </w:r>
    </w:p>
    <w:p>
      <w:r>
        <w:t>Die formellen Rügen erweisen sich als unbegründet. Es besteht keine Veranlassung, die Sache zur Sachverhaltsfeststellung und Neubeurteilung an die Vorinstanz zurückzuweisen.</w:t>
      </w:r>
    </w:p>
    <w:p>
      <w:r>
        <w:rPr>
          <w:b/>
        </w:rPr>
        <w:t>E. 3.1</w:t>
      </w:r>
    </w:p>
    <w:p>
      <w:r>
        <w:t>Dem angefochtenen Entscheid liegt ein Gesuch einer kenianischen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und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 teilung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w:t>
      </w:r>
    </w:p>
    <w:p>
      <w:r>
        <w:t>F-6173/2024 Seite 6 Aufstellung der Liste der Drittländer, deren Staatsangehörige beim Über- 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 sichtigten Aufenthalts belegen und hierfür über ausreichende finanzielle Mittel verfügen. Namentlich haben sie in diesem Zusammenhang zu bele- gen, dass sie den Schengen-Raum vor Ablauf des bewilligungsfreien Auf- enthaltes verlassen, beziehungsweise ausreichende Gewähr für eine frist- gerechte Wiederausreise zu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 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w:t>
      </w:r>
    </w:p>
    <w:p>
      <w:r>
        <w:t>F-6173/2024 Seite 7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kenianischen Staatsangehörigkeit unterliegt die Ge- suchstellerin der Visumspflicht (vgl. Art. 8 Abs. 1 VEV i.V.m. Anhang I Ver- ordnung [EU] 2018/1806; Art. 6 Abs. 1 Bst. b SGK).</w:t>
      </w:r>
    </w:p>
    <w:p>
      <w:r>
        <w:rPr>
          <w:b/>
        </w:rPr>
        <w:t>E. 4.1</w:t>
      </w:r>
    </w:p>
    <w:p>
      <w:r>
        <w:t>Die Vorinstanz begründet die Abweisung der Einsprache im Wesentli- chen damit, dass die Wiederausreise der Gesuchstellerin nicht gewährleis- tet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4.3</w:t>
      </w:r>
    </w:p>
    <w:p>
      <w:r>
        <w:t>In ganz Kenia bestehen grosse politische und soziale Spannungen. Ar- mut, Hunger, Jugendarbeitslosigkeit und Korruption sind weit verbreitet und die Gefahr terroristischer Anschläge ist landesweit erhöht (vgl. dazu ausführlich das Urteil des BVGer F-3698/2022 vom 3. März 2024 E. 6.3). Auf dem aktuellen Index der menschlichen Entwicklung, der durch das Ent- wicklungsprogramm der Vereinten Nationen im Sinne eines Wohlstandsin- dikators erstellt wird, belegt Kenia Platz 146 von 193 gelisteten Ländern. (vgl. Human Development Reports, &lt; https://hdr.undp.org/ &gt; Reports and Publications &gt; Human Development Report 2023-24 &gt; Report English, S. 276, abgerufen am 6.12.2024). In Anbetracht dieser Umstände ist nicht zu beanstanden, wenn die Vorinstanz das Risiko einer nicht fristgerechten Wiederausreise in Bezug auf gesuchstellende Personen aus Kenia allge- mein als erheblich einschätzt.</w:t>
      </w:r>
    </w:p>
    <w:p>
      <w:r>
        <w:rPr>
          <w:b/>
        </w:rPr>
        <w:t>E. 4.4</w:t>
      </w:r>
    </w:p>
    <w:p>
      <w:r>
        <w:t>Nebst den allgemeinen Verhältnissen im Herkunftsland sind in die Ri- sikoanalyse auch die Umstände des konkreten Einzelfalls, insbesondere die berufliche, gesellschaftliche und familiäre Verantwortung der</w:t>
      </w:r>
    </w:p>
    <w:p>
      <w:r>
        <w:t>F-6173/2024 Seite 8 gesuchstellenden Person im Herkunftsland miteinzubeziehen. Bei Perso- 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 Ein im Ziel- land bestehendes, minimales soziales Beziehungsnetz aus Verwandten oder Freunden ist zudem ein wichtiges Element, das den Entscheid aus- zuwandern erleichtern kann. Angesichts der restriktiven Zulassungsrege- lung führt dies nicht selten zur Umgehung von ausländerrechtlichen Best- immungen, indem die Gesuchstellenden – einmal eingereist – versuchen, den Aufenthalt auf eine andere rechtliche Basis abzustützen (BVGE 2014/1 E. 6.2.2).</w:t>
      </w:r>
    </w:p>
    <w:p>
      <w:r>
        <w:rPr>
          <w:b/>
        </w:rPr>
        <w:t>E. 4.5</w:t>
      </w:r>
    </w:p>
    <w:p>
      <w:r>
        <w:t>Die 27-jährige unverheiratete Gesuchstellerin ist eine alleinerziehende Mutter. Ihre Eltern und Geschwister leben ebenfalls in Kenia und sie verfügt damit dort über ein familiäres Beziehungsnetz. Der Beschwerdeführer macht geltend, die Gesuchstellerin betreue ihre Kinder (vgl. SEM-Akten, pag. 220). In diesem Kontext wird jedoch nicht weiter erörtert, inwiefern ein Abhängigkeitsverhältnis tatsächlich abgeleitet werden kann, auf welche Art und Weise die Kinder durch die Gesuchstellerin persönlich versorgt werden und in welchem Gesundheitszustand sie sich aktuell befinden. Sie machte geltend, ihre Kinder hätten in der Vergangenheit an Malaria gelitten, ohne diesen Umstand näher zu belegen (SEM-Akten, pag. 183). Es stellt sich auch die Frage, inwieweit ihre Kinder auf ihre Betreuung angewiesen wä- ren, wenn sie zugleich behauptete, dass ihr Hauptberuf in der Führung ih- res Bekleidungsgeschäfts bestehe und sie daher täglich damit beschäftigt sei (vgl. SEM-Akten, pag. 183). Darüber hinaus zeigt die Tatsache, dass die Gesuchstellerin ein Besuchervisum für die Dauer von gleich drei Mo- naten beantragte, unmittelbar, dass in ihrer Heimat keine existenziellen Ab- hängigkeiten bestehen, die eine Rückkehr zwingend erforderlich machen (vgl. Urteil des BVGer F-6053/2023 vom 25. Oktober 2024 E. 2.3). Schliesslich hat der Beschwerdeführer selbst angegeben, dass die Ge- suchstellerin seine Verlobte ist (vgl. SEM-Akten, pag. 221), weshalb ein wichtiges Element vorliegt, welches die Auswanderung der Gesuchstellerin in die Schweiz erheblich erleichtern kann, zumal ein Schengen-Visum zu Besuchszwecken nicht dazu dienen darf, die Voraussetzungen eines aus- länderrechtlichen Familiennachzugsverfahrens zu umgehen (vgl. Urteile des BVGer F-1000/2024 vom 5. November 2024 E. 6.2; F-858/2024 vom 11. September 2024 E. 5.6, je m.H.).</w:t>
      </w:r>
    </w:p>
    <w:p>
      <w:r>
        <w:t>F-6173/2024 Seite 9</w:t>
      </w:r>
    </w:p>
    <w:p>
      <w:r>
        <w:rPr>
          <w:b/>
        </w:rPr>
        <w:t>E. 4.6</w:t>
      </w:r>
    </w:p>
    <w:p>
      <w:r>
        <w:t>In Bezug auf die wirtschaftlichen Verhältnisse wurden verschiedene Bankkontoauszüge betreffend den Zeitraum vom 25. Februar 2024 bis zum 25. Mai 2024 (vgl. SEM-Akten, pag. 103-180), ein Beleg der kenianischen Steuerbehörde vom 26. Februar 2024 (vgl. SEM-Akten, pag. 181) sowie eine Bewilligung für ein Einzelunternehmen der County Government of (…) (vgl. SEM-Akten, pag. 182) eingereicht. Obwohl die Gesuchstellerin im Rahmen der Gesuchseinreichung behauptete, ein regelmässiges Mindest- einkommen von KES 50'000.– (entsprechend rund Fr. 340.–) zu erzielen, geht aus dem Beleg der kenianischen Steuerbehörde hervor, dass sie we- der über ein steuerbares Einkommen noch über ein steuerbares Vermögen verfügte. Die eingereichten Kontoauszüge könnten höchstens nur einen kurzen Zeitraum von vier Monaten belegen, weshalb mangels Angaben über die Einkommensentwicklung der Gesuchstellerin in den Jahren zuvor keine genauen Rückschlüsse in diesem Zusammenhang möglich sind. Auf- grund der fehlenden Angaben zur finanziellen und wirtschaftlichen Situa- tion im Jahr 2024 sowie in den Vorjahren kann keine eindeutige Schluss- folgerung über das Vorhandensein eines regelmässigen, von der Gesuch- stellerin selbst erwirtschafteten Einkommens gezogen werden. Aus dem gleichen Grund ist keine verlässliche Einschätzung der Vermögenslage- möglich.</w:t>
      </w:r>
    </w:p>
    <w:p>
      <w:r>
        <w:rPr>
          <w:b/>
        </w:rPr>
        <w:t>E. 4.7</w:t>
      </w:r>
    </w:p>
    <w:p>
      <w:r>
        <w:t>Selbst wenn sich die Gesuchstellerin in einer für die lokalen Verhält- nisse guten wirtschaftlichen Situation befände, vermöchte sie dies nicht verlässlich daran zu hindern, das Herkunftsland dauerhaft zu verlassen, da Grundeigentum und andere Vermögenswerte bei einer Emigration nicht verloren gehen (vgl. BVGE 2014/1 E.6.3.6 m.H.). Aktenkundig ist, dass der Beschwerdeführer die Gesuchstellerin teilweise finanziell unterstützt hatte. Im Rahmen der Beschwerde erwähnte er mehrere Banküberweisungen aus der Schweiz zugunsten des Bankkontos der Gesuchstellerin in Kenia (vgl. act. 1, S. 6), die teilweise durch seine Kontoauszüge belegt sind (vgl. act. 1, Beilagen). Dies lässt jedoch keine genauen Rückschlüsse auf die wirtschaftlichen Verhältnisse der Gesuchstellerin zu und lässt viel eher auf eine Abhängigkeit der Gesuchstellerin vom Beschwerdeführer in der Schweiz als auf eine Abhängigkeit der Gesuchstellerin von ihrer Geschäfts- tätigkeit in Kenia schliessen. Folglich kann nicht von derart soliden wirt- schaftlichen Verhältnissen der Gesuchstellerin in ihrem Heimatstaat aus- gegangen werden, die sie von einer Emigration abhalten könnten. Mit der Vorinstanz ist deshalb davon auszugehen, dass die Gesuchstellerin auf- grund ihrer persönlichen Situation keine Verpflichtungen oder gar Abhän- gigkeiten hat, die besondere Gewähr für eine Rückkehr in ihr Heimatland zu bieten vermöchten.</w:t>
      </w:r>
    </w:p>
    <w:p>
      <w:r>
        <w:t>F-6173/2024 Seite 10</w:t>
      </w:r>
    </w:p>
    <w:p>
      <w:r>
        <w:rPr>
          <w:b/>
        </w:rPr>
        <w:t>E. 4.8</w:t>
      </w:r>
    </w:p>
    <w:p>
      <w:r>
        <w:t>Nach dem Gesagten ist die Schlussfolgerung der Vorinstanz, wonach die Wiederausreise der Gesuchstellerin angesichts der allgemeinen Lage in Kenia sowie ihrer individuellen Situation nicht als gesichert angesehen werden könne, nicht zu beanstanden. Mithin fehlt es damit an einer unab- dingbaren Voraussetzung für die Erteilung eines einheitlichen Visums für den gesamten Schengen-Raum. Gründe für die Ausstellung eines Visums mit räumlich beschränkter Gültigkeit wurden zu Recht nicht geltend ge- macht und solche sind auch nicht ersichtlich.</w:t>
      </w:r>
    </w:p>
    <w:p>
      <w:r>
        <w:rPr>
          <w:b/>
        </w:rPr>
        <w:t>E. 5</w:t>
      </w:r>
    </w:p>
    <w:p>
      <w:r>
        <w:t>Die angefochtene Verfügung erweist sich im Lichte von Art. 49 VwVG als rechtmässig. Die Beschwerde ist demzufolge abzuweisen.</w:t>
      </w:r>
    </w:p>
    <w:p>
      <w:r>
        <w:rPr>
          <w:b/>
        </w:rPr>
        <w:t>E. 6</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in gleicher Höhe geleisteten Kosten- vorschuss gedeckt. (Dispositiv nächste Seite)</w:t>
      </w:r>
    </w:p>
    <w:p>
      <w:r>
        <w:t>F-6173/2024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