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F-6156/2025 vom 21. August 2025</w:t>
      </w:r>
    </w:p>
    <w:p>
      <w:r>
        <w:t>Bundesverwaltungsgericht, 2025-08-21, DE</w:t>
      </w:r>
    </w:p>
    <w:p>
      <w:r>
        <w:rPr>
          <w:b/>
        </w:rPr>
        <w:t xml:space="preserve">Quelle: </w:t>
      </w:r>
      <w:r>
        <w:t>https://mcp.opencaselaw.ch/entscheid/bvger_F-6156_2025</w:t>
      </w:r>
    </w:p>
    <w:p>
      <w:r>
        <w:t>FR: TAF F-6156/2025 du 21 août 2025</w:t>
      </w:r>
    </w:p>
    <w:p>
      <w:r>
        <w:t>IT: TAF F-6156/2025 del 21 agosto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ans Bundesverwaltungsgericht (Art. 105 AsylG [SR 142.31] i.V.m. Art. 31 ff. VGG). Dieses entscheidet in der vorliegenden Ma- terie endgültig (Art. 83 Bst. c Ziff. 6 BGG). Das Verfahren richtet sich nach dem VwVG, soweit das VGG oder das AsylG nichts anderes bestimmen (Art. 6 AsylG, Art. 37 VGG). Der Beschwerdeführer ist zur Einreichung der Beschwerde legitimiert (vgl. Art. 48 Abs. 1 VwVG). Auf die frist- und form- gerecht eingereichte Beschwerde ist einzutreten (vgl. Art. 108 Abs. 1 AsylG, Art. 52 Abs. 1 VwVG).</w:t>
      </w:r>
    </w:p>
    <w:p>
      <w:r>
        <w:rPr>
          <w:b/>
        </w:rPr>
        <w:t>E. 1.2</w:t>
      </w:r>
    </w:p>
    <w:p>
      <w:r>
        <w:t>Die Beschwerde erweist sich als offensichtlich begründet, weshalb sie im Verfahren einzelrichterlicher Zuständigkeit mit Zustimmung einer zwei- ten Richterin respektive eines zweiten Richters, ohne Durchführung eines</w:t>
      </w:r>
    </w:p>
    <w:p>
      <w:r>
        <w:t>F-6156/2025 Seite 3 Schriftenwechsels und mit summarischer Begründung zu behandeln ist (Art. 111 Bst. e AsylG, Art. 111a Abs. 1 und 2 AsylG).</w:t>
      </w:r>
    </w:p>
    <w:p>
      <w:r>
        <w:rPr>
          <w:b/>
        </w:rPr>
        <w:t>E. 2.1</w:t>
      </w:r>
    </w:p>
    <w:p>
      <w:r>
        <w:t>Entscheide über die Zuweisung asylsuchender Personen an einen Kanton können gemäss Art. 27 Abs. 3 AsylG nur mit der Begründung an- gefochten werden, sie verletzten den Grundsatz der Einheit der Familie. Auf anerkannte Flüchtlinge ist die Kognitionsbeschränkung von Art. 27 Abs. 3 AsylG nicht anwendbar.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und Art. 60 AsylG; BVGE 2012/2 E. 3.2.2). Art. 26 FK zielt darauf ab, die Ein- schränkungen der freien Wahl des Aufenthaltsortes und der Bewegungs- freiheit für Flüchtlinge auf ein Minimum zu beschränken. Zulässig sind nur einschränkende Bestimmungen, welche für sämtliche Kategorien von aus- ländischen Personen gelten. Abzustellen ist auf diejenigen Einschränkun- gen, welche auf ausländische Personen mit einer Niederlassungsbewilli- gung anwendbar sind. Gemäss Rechtsprechung begründet Art. 26 FK für Flüchtlinge einen Anspruch auf Kantonszuweisung beziehungsweise - wechsel in gleichem Umfang, wie er einer niedergelassenen Person ge- stützt auf Art. 37 Abs. 3 AIG zusteht (vgl. BVGE 2012/2 E. 5.2.2 sowie zu- letzt Urteile des BVGer F-4373/2025 vom 25. Juli 2025 E. 2.2, F-2933/2025 vom 7. Mai 2025 E. 2.4; F-1334/2025 vom 13. März 2025 E. 2.2).</w:t>
      </w:r>
    </w:p>
    <w:p>
      <w:r>
        <w:rPr>
          <w:b/>
        </w:rPr>
        <w:t>E. 3</w:t>
      </w:r>
    </w:p>
    <w:p>
      <w:r>
        <w:t>Mit der angefochtenen Verfügung vom 5. August 2025 hat die Vorinstanz den Beschwerdeführer als Flüchtling anerkannt und ihm Asyl gewährt. Art. 27 Abs. 3 AsylG ist damit auf den Beschwerdeführer nicht anwendbar (vgl. E. 2.1 hiervor). Als anerkannter Flüchtling mit Asyl hat er grundsätzlich Anspruch auf freie Wahl des Kantons, in dem er sich aufhalten möchte. Die Vorinstanz hat es unterlassen, sich damit auseinanderzusetzen. Damit hat sie in ihrer Begründung einen wesentlichen Aspekt ausser Acht gelassen, was einer Verletzung des rechtlichen Gehörs gleichkommt (Art. 29 Abs. 2 BV; Art. 35 VwVG; vgl. BGE 149 V 156 E. 6.1). Zudem hat sie sich nicht</w:t>
      </w:r>
    </w:p>
    <w:p>
      <w:r>
        <w:t>F-6156/2025 Seite 4 mit der Frage auseinandergesetzt, ob einer Zuweisung des Beschwerde- führers in den Kanton Zürich Widerrufsgründe im Sinn von Art. 63 AIG ent- gegenstehen könnten. Auch in diesem Punkt erweist sich der Sachverhalt als unvollständig abgeklärt und der Untersuchungsgrundsatz als verletzt (Art. 6 AsylG i.V.m. Art. 12 VwVG; Art. 49 Bst. b VwVG).</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weshalb die Sache an die Vorinstanz zu- rückzuweisen ist.</w:t>
      </w:r>
    </w:p>
    <w:p>
      <w:r>
        <w:rPr>
          <w:b/>
        </w:rPr>
        <w:t>E. 5</w:t>
      </w:r>
    </w:p>
    <w:p>
      <w:r>
        <w:t>Die Beschwerde ist gutzuheissen. Die Dispositivziffer 3 der angefochtenen Verfügung ist aufzuheben und die Sache zur vollständigen Sachverhalts- abklärung im Sinn der Erwägungen sowie zur neuen Entscheidung an die Vorinstanz zurückzuweisen. Diese wird insbesondere abzuklären haben, ob einer Zuweisung des Beschwerdeführers in Anbetracht von Art. 60 AsylG in den Kanton C._______ Widerrufsgründe nach Art. 63 AIG entge- genstehen und, falls ja, ob sich eine darauf gestützte Verweigerung als ver- hältnismässig erweist.</w:t>
      </w:r>
    </w:p>
    <w:p>
      <w:r>
        <w:rPr>
          <w:b/>
        </w:rPr>
        <w:t>E. 6.1</w:t>
      </w:r>
    </w:p>
    <w:p>
      <w:r>
        <w:t>Bei diesem Ausgang des Verfahrens sind keine Kosten zu erheben (Art. 63 Abs. 1 und 2 VwVG). Das Gesuch um unentgeltliche Rechtspflege (recte: unentgeltliche Prozessführung) wird somit gegenstandslos.</w:t>
      </w:r>
    </w:p>
    <w:p>
      <w:r>
        <w:rPr>
          <w:b/>
        </w:rPr>
        <w:t>E. 6.2</w:t>
      </w:r>
    </w:p>
    <w:p>
      <w:r>
        <w:t>Eine Parteientschädigung ist nicht auszurichten, da es sich vorliegend um eine zugewiesene unentgeltliche Rechtsvertretung im Sinn von Art. 102h AsylG handelt, deren Leistungen vom Bund nach Massgabe von Art. 102k AsylG entschädigt werden (vgl. auch Art. 111ater AsylG).</w:t>
      </w:r>
    </w:p>
    <w:p>
      <w:r>
        <w:t>F-6156/2025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