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F-6147/2015 vom 5. Januar 2017</w:t>
      </w:r>
    </w:p>
    <w:p>
      <w:r>
        <w:t>Bundesverwaltungsgericht, 2017-01-05, DE</w:t>
      </w:r>
    </w:p>
    <w:p>
      <w:r>
        <w:rPr>
          <w:b/>
        </w:rPr>
        <w:t xml:space="preserve">Quelle: </w:t>
      </w:r>
      <w:r>
        <w:t>https://mcp.opencaselaw.ch/entscheid/bvger_F-6147_2015</w:t>
      </w:r>
    </w:p>
    <w:p>
      <w:r>
        <w:t>FR: TAF F-6147/2015 du 5 janvier 2017</w:t>
      </w:r>
    </w:p>
    <w:p>
      <w:r>
        <w:t>IT: TAF F-6147/2015 del 5 gennaio 2017</w:t>
      </w:r>
    </w:p>
    <w:p>
      <w:pPr>
        <w:pStyle w:val="Heading2"/>
      </w:pPr>
      <w:r>
        <w:t>Regeste</w:t>
      </w:r>
    </w:p>
    <w:p>
      <w:r>
        <w:t>Anerkennung der Staatenlosigkeit</w:t>
      </w:r>
    </w:p>
    <w:p>
      <w:pPr>
        <w:pStyle w:val="Heading2"/>
      </w:pPr>
      <w:r>
        <w:t>Erwägungen</w:t>
      </w:r>
    </w:p>
    <w:p>
      <w:r>
        <w:rPr>
          <w:b/>
        </w:rPr>
        <w:t>E. 1.1</w:t>
      </w:r>
    </w:p>
    <w:p>
      <w:r>
        <w:t>Von der Vorinstanz erlassene Verfügungen betreffend Anerkennung der Staatenlosigkeit sind mit Beschwerde ans Bundesverwaltungsgericht anfechtbar (Art. 31 ff. VGG i.V.m. Art. 5 VwVG). Das Rechtsmittelverfahren richtet sich nach dem Verwaltungsverfahrensgesetz (Art. 37 VGG).</w:t>
      </w:r>
    </w:p>
    <w:p>
      <w:r>
        <w:rPr>
          <w:b/>
        </w:rPr>
        <w:t>E. 1.2</w:t>
      </w:r>
    </w:p>
    <w:p>
      <w:r>
        <w:t>Als Adressaten der Verfügung sind die Beschwerdeführer zu deren Anfechtung legitimiert (Art. 48 Abs. 1 VwG). Insbesondere haben sie ein schutzwürdiges Interesse gemäss Art. 48 Abs. 1 Bst. c VwVG an der (zusätzlichen) Anerkennung als Staatenlose. Dieses schutzwürdige Interesse ergibt sich bereits aus dem Umstand, dass sie als anerkannte Staatenlose mit Anspruch auf Aufenthaltsbewilligung gemäss Art. 31 Abs. 3 AuG (SR 142.20) nach fünf Jahren rechtmässigen Aufenthalts in der Schweiz einen Anspruch auf die Niederlassungsbewilligung hätten. Als anerkannte Flüchtlinge mit Asyl hingegen haben sie keinen entsprechenden Anspruch (vgl. Art. 60 Abs. 2 AsylG [SR 142.31]; BVGE 2014/5 E. 9.5; vgl. zur geplanten Angleichung von Art. 31 AuG das Urteil des Bundesgerichts [BGer] 2C_21/2016 vom 5. September 2016 E. 2.1). Auf die frist- und formgerecht eingereichte Beschwerde ist damit einzutreten (Art. 50 und 52 VwVG), soweit nicht die Ausstellung eines Reisedokumentes für Staatenlose beantragt wird, kann doch Verfahrensgegenstand nur sein, was durch den Anfechtungsgegenstand gedeckt ist (vgl. BGE 131 II 200 E. 3.2 m.H.).</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N 7 zu Art. 49 VwVG m.H.),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w:t>
      </w:r>
    </w:p>
    <w:p>
      <w:r>
        <w:rPr>
          <w:b/>
        </w:rPr>
        <w:t>E. 3.2</w:t>
      </w:r>
    </w:p>
    <w:p>
      <w:r>
        <w:t>Personen, die unter die Definition von Art. 1 Abs. 1 StÜ fallen, haben grundsätzlich Anrecht auf eine Behandlung gemäss den Standards des Übereinkommens. Ausgenommen sind jedoch Personen, welche die in Art. 1 Abs. 2 StÜ genannten Voraussetzungen erfüllen. Demnach ist das Übereinkommen nicht anwendbar: "i)auf Personen, die zurzeit durch eine andere Organisation oder Institution der Vereinten Nationen als den Hochkommissar der Vereinten Nationen für Flüchtlinge Schutz oder Hilfe erhalten, solange sie diesen Schutz oder diese Hilfe geniessen; ii)auf Personen, welche nach Auffassung der zuständigen Behörden des Aufenthaltslandes im Besitze der Rechte und Pflichten der Staatsangehörigen des Landes stehen; iii)auf Personen, für die ernsthafte Gründe für den Verdacht bestehen: a)dass sie ein Verbrechen gegen den Frieden, ein Kriegsverbrechen oder ein Verbrechen gegen die Menschlichkeit im Sinne der internationalen Vertragswerke begangen haben, die ausgearbeitet worden sind, um Bestimmungen bezüglich dieser Verbrechen zu treffen; b)dass sie ein schweres Verbrechen des gemeinen Rechts ausserhalb des Aufenthaltslandes begangen haben, bevor sie in diesem aufgenommen worden sind; c)dass sie sich Handlungen zuschulden kommen liessen, die gegen die Ziele und Grundsätze der Vereinten Nationen gerichtet sind."</w:t>
      </w:r>
    </w:p>
    <w:p>
      <w:r>
        <w:rPr>
          <w:b/>
        </w:rPr>
        <w:t>E. 3.3</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 zu 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Urteile des BGer 2C_36/2012 vom 10. Mai 2012 E. 3.2 und 2C_763/2008 vom 26. März 2009 E. 3.2 je m.H.).</w:t>
      </w:r>
    </w:p>
    <w:p>
      <w:r>
        <w:rPr>
          <w:b/>
        </w:rPr>
        <w:t>E. 3.4</w:t>
      </w:r>
    </w:p>
    <w:p>
      <w:r>
        <w:t>Im bereits erwähnten Urteil BVGE 2014/5 kam das Bundesverwaltungsgericht zum Schluss, dass die Anwendung des Staatenlosenübereinkommens auf Personen, die bereits den Schutz der Flüchtlingskonvention geniessen, nicht ausgeschlossen ist (BVGE 2014/5 E. 7.3.4). In Bezug auf aus Syrien stammende Kurden, die der Gruppe der Ajanib angehören und in der Schweiz als Flüchtlinge anerkannt wurden, hielt das Bundesverwaltungsgericht fest, dass die festgestellte Flüchtlingseigenschaft als triftiger Grund, das Verfahren zur Einbürgerung in Syrien nicht zu durchlaufen, anzusehen ist, so dass sie staatenlos im Sinne von Art. 1 Abs. 1 StÜ sind (BVGE 2014/5 E. 11).</w:t>
      </w:r>
    </w:p>
    <w:p>
      <w:r>
        <w:rPr>
          <w:b/>
        </w:rPr>
        <w:t>E. 4.1</w:t>
      </w:r>
    </w:p>
    <w:p>
      <w:r>
        <w:t>Aus den Akten geht hervor, dass der Beschwerdeführer 1 ein aus Syrien stammender Kurde ist und der Gruppe der registrierten Kurden (Ajanib) angehört. Welchen Status genau die Kinder, die Beschwerdeführer 2 und 3, haben, war - soweit ersichtlich - im vorinstanzlichen Verfahren kein Thema. Da die Mutter syrische Staatsangehörige ist, ist zu prüfen, ob die Kinder ebenfalls über die syrische Staatsangehörigkeit verfügen bzw. die Möglichkeit hätten, sie zu erwerben. Gemäss dem syrischen Staatsangehörigkeitsrecht folgt der Status der Kinder dem Status des Vaters, d.h. durch Geburt können Kinder die Staatsangehörigkeit nur erwerben, wenn der Vater syrischer Staatsangehöriger ist. Dass vorliegend die Mutter über die syrische Staatsangehörigkeit verfügt, ist gemäss syrischem Recht unbeachtlich, da der Vater bekannt ist. Es ist daher davon auszugehen, dass die Beschwerdeführer 2 und 3 Ajanib oder möglicherweise auch Maktumin (nicht registrierte Kurden) sind (vgl. zu den Personengruppen die in BVGE 2014/5 nicht publizierte E. 5 des Urteils C-1873/2013 vom 9. Mai 2014; zum syrischen Staatsangehörigkeitsrecht das Dekret 276 vom 24. November 1969 [mit nachfolgenden Anpassungen; im Internet: www.refworld.org &gt; Syrian Arab Republic &gt; legal information &gt; national legislation, abgerufen am 23. November 2016], Lynch/Ali, Buried Alive, Stateless Kurds in Syria, Januar 2006, S. 6 [im Internet: www.refworld org &gt; Browse by Topic: Kurd &gt; Publisher: Refugees International, abgerufen am 23. November 2016] sowie den Kurdwatch Bericht 5, Staatenlose Kurden in Syrien - Illegale Eindringlinge oder Opfer nationalistischer Politik?, März 2010, S. 17 f. [im Internet: www.kurdwatch.org &gt; Berichte, abgerufen am 23. November 2016]). Der Beschwerdeführer 2 ist in Griechenland geboren, der Beschwerdeführer 3 in der Schweiz. Da keines dieser beiden Länder die Staatsangehörigkeit (allein) aufgrund des Geburtsortes verleiht (ius solis), fällt ein Erwerb einer Staatsangehörigkeit auf diese Weise ausser Betracht (für die Schweiz vgl. das Bürgerrechtsgesetz vom 29. September 1952 [SR 141.0], für Griechenland vgl. Eleftherios J. Kastrissios, Griechenland [Stand: 1. Januar 2016] S. 7 ff., in: Bergmann/Ferid/Henrich, Internationales Ehe- und Kindschaftsrecht). Es ist somit davon auszugehen, dass keiner der drei Beschwerdeführer zur Zeit über einen Staatsangehörigkeit verfügt.</w:t>
      </w:r>
    </w:p>
    <w:p>
      <w:r>
        <w:rPr>
          <w:b/>
        </w:rPr>
        <w:t>E. 4.2</w:t>
      </w:r>
    </w:p>
    <w:p>
      <w:r>
        <w:t>Als ein in der Schweiz als Flüchtling anerkannter Ajnabi ist der Beschwerdeführer 1 als staatenlos im Sinne von Art. 1 Abs. 1 StÜ anzusehen, sofern nicht ein Ausschlussgrund vorliegt (Art. 1 Abs. 2 StÜ; BVGE 2014/5 E. 10 und E. 11). Das gleiche gilt für die Beschwerdeführer 2 und 3, unabhängig davon, ob sie der Gruppe der Ajanib oder derjenigen der Maktumin angehören. Deshalb ist zu prüfen, wie es sich mit der Anwendbarkeit der von der Vorinstanz angeführten Ausschlussklausel verhält.</w:t>
      </w:r>
    </w:p>
    <w:p>
      <w:r>
        <w:rPr>
          <w:b/>
        </w:rPr>
        <w:t>E. 5.1</w:t>
      </w:r>
    </w:p>
    <w:p>
      <w:r>
        <w:t>Die Vorinstanz stellt sich im Wesentlichen auf den Standpunkt, das Staatenlosenübereinkommen sei auf die Beschwerdeführer nicht anwendbar, weil sie aufgrund der gestützt auf ihren Asylstatus erteilten Aufenthaltsbewilligung (vgl. Art. 60 Abs. 1 AsylG) unter die Ausschlussklausel von Art. 1 Abs. 2 Ziff. ii StÜ fielen. Die Beschwerdeführenden bestreiten diese Auffassung und führen zahlreiche Beispiele auf, die zeigen sollen, dass die Rechtsstellung einer ausländischen Person mit Aufenthaltsbewilligung nicht mit dem Status von Personen mit Schweizer Bürgerrecht zu vergleichen sei. Zudem sei es nicht statthaft, die politischen Rechte bei der Beurteilung auszunehmen.</w:t>
      </w:r>
    </w:p>
    <w:p>
      <w:r>
        <w:rPr>
          <w:b/>
        </w:rPr>
        <w:t>E. 5.2</w:t>
      </w:r>
    </w:p>
    <w:p>
      <w:r>
        <w:t>Bei der Frage, ob die Beschwerdeführenden unter die Ausschlussklausel von Art. 1 Abs. 2 Ziff. ii StÜ fallen, ist die Vorinstanz zu Recht davon ausgegangen, dass es um einen Vergleich der Situation der betroffenen ausländischen Personen in der Schweiz mit Schweizer Bürgern geht (vgl. BVGE 2014/5 E. 10.3). Strittig ist jedoch, was unter "im Besitze der Rechte und Pflichten der Staatsangehörigen des Landes" zu verstehen ist (in den englischen bzw. französischen Originaltexten: "as having the rights and obligations which are attached to the possession of the nationality of that country", "comme ayant les droits et les obligations attachées à la possession de la nationalité de ce pays"; vgl. auch den gleichlautenden Art. 1 E des Abkommens vom 28. Juli 1951 über die Rechtsstellung der Flüchtlinge [FK, SR 0.142.30], auf den sich die nachfolgend zitierte Literatur überwiegend bezieht). Diese offene Formulierung wird, soweit sie in der Literatur überhaupt diskutiert wird und nicht aufgrund des historischen Kontexts als überholt angesehen bzw. kritisiert wird, in dem Sinne verstanden, dass sie alle Rechte und Pflichten mit Ausnahme der politischen Rechte umfasst (vgl. Reinhard Marx, in: The 1951 Convention Relating to the Status of Refugees and ist 1967 Protocol, 2011, Art. 1 E Ziff. 12 f. [nachfolgend FK-Kommentar], Reinhard Marx, Handbuch zum Flüchtlingsschutz, 2. Aufl. 2012, § 34 Leitsatz 2, N 4 ff., N 12. [nachfolgend: Marx, Flüchtlingsschutz]). Neben dem allgemeinen, nicht näher ausgeführten Hinweis auf die sozialen und wirtschaftlichen Rechte, wird dabei insbesondere der (absolute) Schutz vor Ausweisung und Ausschaffung hervorgehoben, den die eigenen Staatsangehörigen geniessen (vgl. Goodwin-Gill/McAdam, The Refugee in International Law, 3. Aufl. 2007, S. 162, Hathaway/Foster, The Law of Refugee Status, 2. Aufl., S. 503 Fn. 263, Marx, FK-Kommentar, Art. 1 E Ziff 14, Marx, Flüchtlingsschutz, § 34 N 12, Laura van Waas, Nationality Matters, 2008, S. 219, 246).</w:t>
      </w:r>
    </w:p>
    <w:p>
      <w:r>
        <w:rPr>
          <w:b/>
        </w:rPr>
        <w:t>E. 5.3</w:t>
      </w:r>
    </w:p>
    <w:p>
      <w:r>
        <w:t>Entgegen der von der Vorinstanz vertretenen Auffassung können die Rechte und Pflichten, die mit dem Status der Beschwerdeführenden als Flüchtlinge mit Asyl verbunden sind, nicht im Sinne der Ausnahmeklausel von Art. 1 Abs. 2 Ziff. ii StÜ mit denjenigen von Schweizer Bürgern gleichgesetzt werden. Es muss an dieser Stelle nicht im Einzelnen auf die von den Beschwerdeführenden geltend gemachten Bereiche eingegangen werden, in denen die anerkannten Flüchtlinge mit Asyl schlechter gestellt seien als Schweizer Bürger (eine Übersicht über die Rechtsstellung der Staatenlosen findet sich bei Pablo Arnaiz, Staatenlose im internationalen und schweizerischen Recht, in: Actualité du droit des étrangers, Sondernummer 2016, Les apatrides - Staatenlose, S. 114 ff.). Vielmehr genügt es, an dieser Stelle den Schutz vor Ausweisung und Auslieferung gemäss Art. 25 Abs. 1 BV zu nennen, wonach Schweizer Bürger nicht ausgewiesen und nur mit ihrer Einwilligung ausgeliefert werden dürfen (vgl. Kiener/Kälin, Grundrechte, 2. Aufl. 2013, S. 197, Stephan Breitenmoser, in: Ehrenzeller et al [Hrsg.], Die schweizerische Bundesverfassung, St. Galler Kommentar, 3. Aufl. 2014, N 2 ff. zu Art. 25, Müller/Schefer, Grundrechte in der Schweiz, 4. Aufl. 2008, S. 325 f.). Flüchtlinge hingegen können unter bestimmten Umständen ausgewiesen werden (Art. 32 FK, Art. 65 AsylG) und auch das Verbot der Rückschiebung gilt nicht absolut (vgl. Art. 33 Abs. 2 FK, Art. 25 Abs. 2 BV, Art. 5 Abs. 2 AsylG; Kiener/Kälin, a.a.O., S. 198., Breitenmoser, a.a.O., N 18 f. zu Art. 25, Müller/Schefer, a.a.O., S. 336 f.). Einen absoluten Schutz geniessen ausländische Personen nur, wenn ihnen im Zielland Folter oder unmenschliche Behandlung oder Bestrafung droht (vgl. etwa Art. 25 Abs. 3 BV oder Art. 3 des Übereinkommens vom 10. Dezember 1984 gegen Folter und andere grausame, unmenschliche oder erniedrigende Behandlung oder Strafe [SR 0.105]; Kiener/Kälin, a.a.O., S. 197 f., Breitenmoser, a.a.O., N 22 ff. zu Art. 25, Müller/Schefer, a.a.O., S. 338).</w:t>
      </w:r>
    </w:p>
    <w:p>
      <w:r>
        <w:rPr>
          <w:b/>
        </w:rPr>
        <w:t>E. 6</w:t>
      </w:r>
    </w:p>
    <w:p>
      <w:r>
        <w:t>Zusammenfassend ist festzuhalten, dass die Anwendung des Staatenlosenübereinkommens auf Flüchtlinge, denen in der Schweiz Asyl gewährt wurde, nicht aufgrund von Art. 1 Abs. 2 Ziff. ii StÜ ausgeschlossen ist. Angesichts des schutzwürdigen Interesses der Beschwerdeführer an der zusätzlichen Anerkennung als Staatenlose (E. 1.2) ist die Beschwerde wegen der Verletzung von Bundesrecht (Art. 49 VwVG) gutzuheissen und die Beschwerdeführer sind als staatenlos anzuerkennen.</w:t>
      </w:r>
    </w:p>
    <w:p>
      <w:r>
        <w:rPr>
          <w:b/>
        </w:rPr>
        <w:t>E. 7.1</w:t>
      </w:r>
    </w:p>
    <w:p>
      <w:r>
        <w:t>Bei diesem Verfahrensausgang sind keine Verfahrenskosten aufzuerlegen (Art. 63 Abs. 1 und Abs. 2 VwVG) und der einbezahlte Kostenvorschuss ist den Beschwerdeführern zurückzuerstatten.</w:t>
      </w:r>
    </w:p>
    <w:p>
      <w:r>
        <w:rPr>
          <w:b/>
        </w:rPr>
        <w:t>E. 7.2</w:t>
      </w:r>
    </w:p>
    <w:p>
      <w:r>
        <w:t>Die obsiegenden Beschwerdeführer haben Anrecht auf eine Parteientschädigung zulasten der Vorinstanz für die ihnen erwachsenen notwendigen und verhältnismässig hohen Kosten (vgl. Art. 64 Abs. 1 und Abs. 2 VwVG i.V.m. Art. 7 Abs. 1 und Art. 8 des Reglements vom 21. Februar 2008 über die Kosten und Entschädigungen vor dem Bundesverwaltungsgericht [VGKE, SR 173.320.2]). Da dem Gericht keine Kostennote des Rechtsvertreters vorliegt, ist die Entschädigung auf Grund der Akten festzulegen (vgl. Art. 14 Abs. 2 VGKE). Daher wird die Parteientschädigung unter Berücksichtigung der rechtlichen Komplexität und des Umfangs des Verfahrens auf Fr. 2'000.- festgelegt. Darin enthalten ist der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